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29" w:rsidRPr="00D24429" w:rsidRDefault="00D24429" w:rsidP="00D24429">
      <w:pPr>
        <w:spacing w:before="100" w:beforeAutospacing="1" w:after="100" w:afterAutospacing="1" w:line="240" w:lineRule="auto"/>
        <w:jc w:val="right"/>
        <w:rPr>
          <w:rFonts w:ascii="Arial" w:hAnsi="Arial" w:cs="Arial"/>
          <w:b/>
          <w:sz w:val="24"/>
          <w:szCs w:val="24"/>
        </w:rPr>
      </w:pPr>
      <w:bookmarkStart w:id="0" w:name="_GoBack"/>
      <w:bookmarkEnd w:id="0"/>
      <w:r w:rsidRPr="00D24429">
        <w:rPr>
          <w:rFonts w:ascii="Arial" w:hAnsi="Arial" w:cs="Arial"/>
          <w:sz w:val="24"/>
          <w:szCs w:val="24"/>
          <w:lang w:val="es-ES"/>
        </w:rPr>
        <w:t>Mérida, Yucatán, a 27 de marzo de 2019.</w:t>
      </w:r>
    </w:p>
    <w:p w:rsidR="00D24429" w:rsidRPr="00D24429" w:rsidRDefault="00D24429" w:rsidP="00D24429">
      <w:pPr>
        <w:spacing w:before="100" w:beforeAutospacing="1" w:after="100" w:afterAutospacing="1" w:line="240" w:lineRule="auto"/>
        <w:rPr>
          <w:rFonts w:ascii="Arial" w:hAnsi="Arial" w:cs="Arial"/>
          <w:sz w:val="24"/>
          <w:szCs w:val="24"/>
          <w:lang w:val="es-ES"/>
        </w:rPr>
      </w:pPr>
      <w:r w:rsidRPr="00D24429">
        <w:rPr>
          <w:rFonts w:ascii="Arial" w:hAnsi="Arial" w:cs="Arial"/>
          <w:b/>
          <w:sz w:val="24"/>
          <w:szCs w:val="24"/>
        </w:rPr>
        <w:t>H. Congreso del Estado de Yucatán:</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b/>
          <w:sz w:val="24"/>
          <w:szCs w:val="24"/>
        </w:rPr>
        <w:t xml:space="preserve">Iniciativa para modificar la Constitución Política del Estado de Yucatán, </w:t>
      </w:r>
      <w:r w:rsidRPr="00D24429">
        <w:rPr>
          <w:rFonts w:ascii="Arial" w:hAnsi="Arial" w:cs="Arial"/>
          <w:b/>
          <w:sz w:val="24"/>
          <w:szCs w:val="24"/>
          <w:lang w:val="es-ES_tradnl"/>
        </w:rPr>
        <w:t>en materia de autonomía de la Fiscalía Especializada en Combate a la Corrupción del Estado de Yucatán</w:t>
      </w:r>
    </w:p>
    <w:p w:rsidR="00D24429" w:rsidRPr="00D24429" w:rsidRDefault="00D24429" w:rsidP="00D24429">
      <w:pPr>
        <w:spacing w:before="100" w:beforeAutospacing="1" w:after="100" w:afterAutospacing="1" w:line="240" w:lineRule="auto"/>
        <w:jc w:val="center"/>
        <w:rPr>
          <w:rFonts w:ascii="Arial" w:hAnsi="Arial" w:cs="Arial"/>
          <w:sz w:val="24"/>
          <w:szCs w:val="24"/>
        </w:rPr>
      </w:pPr>
      <w:r w:rsidRPr="00D24429">
        <w:rPr>
          <w:rFonts w:ascii="Arial" w:eastAsia="Calibri" w:hAnsi="Arial" w:cs="Arial"/>
          <w:b/>
          <w:sz w:val="24"/>
          <w:szCs w:val="24"/>
        </w:rPr>
        <w:t>Exposición de motivos</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La corrupción es un fenómeno social que puede definirse como el uso ilegítimo y arbitrario del poder público para el beneficio privado.</w:t>
      </w:r>
      <w:r w:rsidRPr="00D24429">
        <w:rPr>
          <w:rStyle w:val="Refdenotaalpie"/>
          <w:rFonts w:ascii="Arial" w:hAnsi="Arial" w:cs="Arial"/>
          <w:sz w:val="24"/>
          <w:szCs w:val="24"/>
        </w:rPr>
        <w:footnoteReference w:id="1"/>
      </w:r>
      <w:r w:rsidRPr="00D24429">
        <w:rPr>
          <w:rFonts w:ascii="Arial" w:hAnsi="Arial" w:cs="Arial"/>
          <w:sz w:val="24"/>
          <w:szCs w:val="24"/>
        </w:rPr>
        <w:t xml:space="preserve"> Este cáncer social representa un impedimento mayúsculo para lograr la implantación del estado de derecho y alcanzar el desarrollo sostenible. </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Lamentablemente, la corrupción se encuentra presente, en mayor o menor medida, en todos los países del mundo, obstaculizando el crecimiento económico y el desarrollo, socavando la confianza pública, la legitimidad y la transparencia y entorpeciendo la elaboración de leyes imparciales y eficaces, así como su administración, ejecución y aplicación.</w:t>
      </w:r>
      <w:r w:rsidRPr="00D24429">
        <w:rPr>
          <w:rStyle w:val="Refdenotaalpie"/>
          <w:rFonts w:ascii="Arial" w:hAnsi="Arial" w:cs="Arial"/>
          <w:sz w:val="24"/>
          <w:szCs w:val="24"/>
        </w:rPr>
        <w:footnoteReference w:id="2"/>
      </w:r>
      <w:r w:rsidRPr="00D24429">
        <w:rPr>
          <w:rFonts w:ascii="Arial" w:hAnsi="Arial" w:cs="Arial"/>
          <w:sz w:val="24"/>
          <w:szCs w:val="24"/>
          <w:lang w:val="es-ES_tradnl"/>
        </w:rPr>
        <w:t xml:space="preserve"> Problemas tan graves como la corrupción y la falta de confianza en las instituciones, tienen un impacto en el entramado social repercutiendo en cada aspecto del desarrollo.</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En este sentido, el costo económico anual promedio de la corrupción a nivel mundial, conforme a los cálculos de la Organización de las Naciones Unidas, es de 2.6 billones de dólares, lo cual representa el 5% del producto interno bruto mundial. En este orden de ideas, las personas y las empresas pagan más de un billón de dólares en sobornos al año, donde los ciudadanos de los países en vías desarrollo son los más afectados.</w:t>
      </w:r>
      <w:r w:rsidRPr="00D24429">
        <w:rPr>
          <w:rStyle w:val="Refdenotaalpie"/>
          <w:rFonts w:ascii="Arial" w:hAnsi="Arial" w:cs="Arial"/>
          <w:sz w:val="24"/>
          <w:szCs w:val="24"/>
        </w:rPr>
        <w:footnoteReference w:id="3"/>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lang w:val="es-ES_tradnl"/>
        </w:rPr>
        <w:t xml:space="preserve">En nuestro país la corrupción afecta en promedio a 5.2 millones de personas, de las cuales, 3.1 millones se vio obligada a sobornar para obtener algún trámite o servicio público, lo cual terminó costando a la población mexicana 7,218,000,000.00 pesos, cantidad que, de acuerdo con el Instituto Nacional de Estadística y Geografía, fue equivalente al presupuesto federal destinado a tres programas sociales. Por su </w:t>
      </w:r>
      <w:r w:rsidRPr="00D24429">
        <w:rPr>
          <w:rFonts w:ascii="Arial" w:hAnsi="Arial" w:cs="Arial"/>
          <w:sz w:val="24"/>
          <w:szCs w:val="24"/>
          <w:lang w:val="es-ES_tradnl"/>
        </w:rPr>
        <w:lastRenderedPageBreak/>
        <w:t>parte, las empresas desembolsaron un total de 1,612,000,000.00 pesos en 2016 a causa de la corrupción.</w:t>
      </w:r>
      <w:r w:rsidRPr="00D24429">
        <w:rPr>
          <w:rStyle w:val="Refdenotaalpie"/>
          <w:rFonts w:ascii="Arial" w:hAnsi="Arial" w:cs="Arial"/>
          <w:sz w:val="24"/>
          <w:szCs w:val="24"/>
          <w:lang w:val="es-ES_tradnl"/>
        </w:rPr>
        <w:footnoteReference w:id="4"/>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En años recientes, se ha hecho patente que la corrupción repercute en igual magnitud en las actividades empresariales, ya que de acuerdo con la Encuesta Nacional de Victimización de Empresas (ENVE 2018), de las 4.6 millones de unidades económicas activas en el país, 1.5 millones han sido víctimas de un delito, lo cual, de acuerdo con dicho medio, representa el 33.7%; así, partiendo de que ese número de víctimas ha sufrido 3.8 millones de delitos, de los cuales el 13.5% consisten en delitos por hechos de corrupción, siendo en el sector industrial el primer delito más frecuente y en el sector de servicios el tercero. Datos que de ninguna manera deben ser entendidos de manera aislada, pues de acuerdo con la propia estadística, el 99.1% de los actos de corrupción de los que son víctimas las unidades económicas, no son denunciados.</w:t>
      </w:r>
      <w:r w:rsidRPr="00D24429">
        <w:rPr>
          <w:rStyle w:val="Refdenotaalpie"/>
          <w:rFonts w:ascii="Arial" w:hAnsi="Arial" w:cs="Arial"/>
          <w:sz w:val="24"/>
          <w:szCs w:val="24"/>
          <w:lang w:val="es-ES_tradnl"/>
        </w:rPr>
        <w:footnoteReference w:id="5"/>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lang w:val="es-ES_tradnl"/>
        </w:rPr>
        <w:t xml:space="preserve">Por otra parte, diversos análisis internacionales han coincidido en que </w:t>
      </w:r>
      <w:r w:rsidRPr="00D24429">
        <w:rPr>
          <w:rFonts w:ascii="Arial" w:hAnsi="Arial" w:cs="Arial"/>
          <w:sz w:val="24"/>
          <w:szCs w:val="24"/>
        </w:rPr>
        <w:t>la corrupción, además de su claro impacto económico, tiene un impacto negativo sobre el disfrute, tanto individual como colectivo y social de los derechos humanos, pues, a nivel individual, condiciona el acceso a bienes y servicios públicos de manera ilegal; a nivel colectivo, condona la violación de las leyes y regulaciones de diversas materias, incluso ambientales y de salud; y, a nivel macro, el desvío de recursos merma las finanzas gubernamentales restringiendo los recursos que debían destinarse al desarrollo social y económico de los ciudadanos.</w:t>
      </w:r>
      <w:r w:rsidRPr="00D24429">
        <w:rPr>
          <w:rStyle w:val="Refdenotaalpie"/>
          <w:rFonts w:ascii="Arial" w:hAnsi="Arial" w:cs="Arial"/>
          <w:sz w:val="24"/>
          <w:szCs w:val="24"/>
        </w:rPr>
        <w:footnoteReference w:id="6"/>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Derivado lo anterior, se hizo patente la necesidad de adoptar medidas internacionales y regionales de carácter multilateral para establecer estrategias y políticas que permitan prevenir y detectar oportunamente los actos de corrupción y sancionar tanto a los funcionarios que incurran en estas prácticas como a los particulares que las alienten y condonen, a fin de ponerle un alto a esta problemática social.</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 xml:space="preserve">A nivel internacional, la Convención de las Naciones Unidas contra la Corrupción, que entró en vigor en 2005, obliga a los estados parte, en su artículo 6.2., a contar </w:t>
      </w:r>
      <w:r w:rsidRPr="00D24429">
        <w:rPr>
          <w:rFonts w:ascii="Arial" w:hAnsi="Arial" w:cs="Arial"/>
          <w:sz w:val="24"/>
          <w:szCs w:val="24"/>
        </w:rPr>
        <w:lastRenderedPageBreak/>
        <w:t>con “órganos especializados de combate a la corrupción que gocen de la independencia necesaria, con los recursos materiales y con personal suficiente y calificado”; de igual manera, en su artículo 11.2., reitera la necesidad de fortalecer la autonomía del Ministerio Público en su lucha contra la corrupción; y su artículo 36, de nueva cuenta, obliga a cerciorarse de que los órganos o personas especializados en la lucha contra la corrupción gocen de independencia para que puedan desempeñar sus funciones con eficacia y sin presiones indebidas, proporcionando a estos órganos formación adecuada y recursos suficientes.</w:t>
      </w:r>
      <w:r w:rsidRPr="00D24429">
        <w:rPr>
          <w:rStyle w:val="Refdenotaalpie"/>
          <w:rFonts w:ascii="Arial" w:hAnsi="Arial" w:cs="Arial"/>
          <w:sz w:val="24"/>
          <w:szCs w:val="24"/>
        </w:rPr>
        <w:footnoteReference w:id="7"/>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 xml:space="preserve">A nivel regional contamos con la Convención Interamericana contra la Corrupción, que entró en vigor en 1997, y obliga, a través de su artículo III.9., a crear, mantener y fortalecer órganos de control superior, con el fin de desarrollar mecanismos modernos para prevenir, detectar, sancionar y erradicar las prácticas corruptas. </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 xml:space="preserve">Al respecto, </w:t>
      </w:r>
      <w:r w:rsidRPr="00D24429">
        <w:rPr>
          <w:rFonts w:ascii="Arial" w:hAnsi="Arial" w:cs="Arial"/>
          <w:sz w:val="24"/>
          <w:szCs w:val="24"/>
          <w:lang w:val="es-ES_tradnl"/>
        </w:rPr>
        <w:t xml:space="preserve">en el Informe Hemisférico de la Cuarta Ronda de Análisis del Comité de Expertos del Mecanismo de Seguimiento de la Implementación de la Convención Interamericana contra la Corrupción, del cual México es parte, emitido en fecha 16 de abril de 2015, se emitieron recomendaciones en relación con los </w:t>
      </w:r>
      <w:r w:rsidRPr="00D24429">
        <w:rPr>
          <w:rFonts w:ascii="Arial" w:hAnsi="Arial" w:cs="Arial"/>
          <w:sz w:val="24"/>
          <w:szCs w:val="24"/>
        </w:rPr>
        <w:t>órganos de control superior</w:t>
      </w:r>
      <w:r w:rsidRPr="00D24429">
        <w:rPr>
          <w:rFonts w:ascii="Arial" w:hAnsi="Arial" w:cs="Arial"/>
          <w:sz w:val="24"/>
          <w:szCs w:val="24"/>
          <w:lang w:val="es-ES_tradnl"/>
        </w:rPr>
        <w:t>: fortalecer la autonomía funcional o independencia técnica necesaria para el cumplimiento objetivo de sus atribuciones (punto 7.1.1.a), garantizarles los recursos humanos y financieros necesarios para su funcionamiento (punto 7.1.1.o); y, específicamente para los órganos de control superior con funciones de investigación o persecución de las prácticas corruptas que generan responsabilidad penal, otorgarles la jerarquía institucional que la importancia de tales funciones requiere (punto 7.1.3.a).</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A fin de dar cumplimiento a sus obligaciones internacionales y de erradicar la corrupción, el 27 de mayo de 2015 se modificó la Constitución Política de los Estados Unidos Mexicanos, en materia de combate a la corrupción, con la finalidad de crear un sistema nacional en la materia y de robustecer a las instituciones encargadas de la prevención, detección, sanción y erradicación de los hechos de corrupción, obligando con ello a las entidades federativas a armonizar su marco jurídico a la referida reforma y a crear órganos y autoridades símiles a nivel local.</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lastRenderedPageBreak/>
        <w:t>En atención a</w:t>
      </w:r>
      <w:r w:rsidRPr="00D24429">
        <w:rPr>
          <w:rFonts w:ascii="Arial" w:hAnsi="Arial" w:cs="Arial"/>
          <w:sz w:val="24"/>
          <w:szCs w:val="24"/>
        </w:rPr>
        <w:t xml:space="preserve"> la encomienda federal, el </w:t>
      </w:r>
      <w:r w:rsidRPr="00D24429">
        <w:rPr>
          <w:rFonts w:ascii="Arial" w:hAnsi="Arial" w:cs="Arial"/>
          <w:sz w:val="24"/>
          <w:szCs w:val="24"/>
          <w:lang w:val="es-ES_tradnl"/>
        </w:rPr>
        <w:t>20 de abril de 2016 se promulgó el Decreto 380/2016 por el que se modifica la Constitución Política del Estado de Yucatán, en materia de anticorrupción y transparencia, mediante el cual se creó el sistema local anticorrupción, dotando así de autonomía al Tribunal de Justicia Administrativa del Estado de Yucatán, se estableció un procedimiento especial para la designación del titular de la Secretaría de la Contraloría General y se incluyó la referencia expresa a la Vicefiscalía Especializada en Combate a la Corrupción y a su titular, entre otros.</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No obstante lo loable de los esfuerzos desplegados hasta ahora por las autoridades, tanto federales como locales, es innegable que la autonomía de la autoridad investigadora de delitos por hechos de corrupción es un tema pendiente de la reforma en materia de combate a la corrupción, tal como lo destacan tanto los tratados internacionales en la materia citados, como las recomendaciones emitidas por los órganos encargados de darle seguimiento al cumplimiento de dichos tratados.</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El combate a la corrupción requiere instituciones sólidas e independientes, para lo cual es necesario que estas autoridades cuenten con la autonomía suficiente para ejecutar sus actos de manera que no se encuentren sujetas a cualquiera de los poderes a quienes deben investigar, a fin de que desarrollen sus funciones libremente, subordinando su actuación únicamente al interés ciudadano, como un verdadero representante de los intereses de la sociedad ante los órganos judiciales.</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En efecto, como titular del Poder Ejecutivo reafirmo la trascendencia de contar con una Fiscalía Especializada en Combate a la Corrupción autónoma que se encargue de la investigación y persecución de los delitos por hechos de corrupción; con lo cual nuestra entidad dé cumplimiento a lo previsto en los tratados y en las recomendaciones internacionales, y se supere el palpable conflicto que representa que el órgano encargado de la investigación de los delitos por hechos de corrupción dependa económica y jerárquicamente del Poder Ejecutivo, poder al que, entre otros, se le ha encomendado investigar y perseguir penalmente.</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 xml:space="preserve">En este orden de ideas, la iniciativa que se somete a consideración de este honorable Congreso tiene como fin </w:t>
      </w:r>
      <w:r w:rsidRPr="00D24429">
        <w:rPr>
          <w:rFonts w:ascii="Arial" w:hAnsi="Arial" w:cs="Arial"/>
          <w:sz w:val="24"/>
          <w:szCs w:val="24"/>
        </w:rPr>
        <w:t>dotar de autonomía constitucional a la ahora Vicefiscalía Especializada en Combate a la Corrupción, para que se convierta en la Fiscalía Especializada en Combate a la Corrupción, de manera que cuente con un presupuesto propio y autonomía técnica y de gestión total.</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lastRenderedPageBreak/>
        <w:t>Para efectos de lo anterior, se propone adicionar, en el artículo 62, tercer párrafo, una referencia a la Fiscalía Especializada en Combate a la Corrupción, a fin de que se integre dentro del Ministerio Público junto con la Fiscalía General del Estado.</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De igual manera, se adiciona una fracción VI al artículo 73 ter, que contiene un listado de los órganos constitucionales autónomos, de manera que incluya a la Fiscalía Especializada en Combate a la Corrupción.</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 xml:space="preserve">En línea con lo anterior, se propone adicionar un capítulo VII al título séptimo, que contendría al artículo 75 Quinquies, el cual reconoce la autonomía constitucional de la Fiscalía Especializada en Combate a la Corrupción, regula su objeto, el proceso de nombramiento del fiscal especializado, que se propone continúe siendo el mismo que se utiliza actualmente para designar al fiscal general del estado, la duración de su cargo y la prohibición de ejercer otros cargos adicionales. </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Aunado a lo anterior, se propone ajustar las referencias a este órgano en los artículos 30, fracción XLIX, 43 Bis, fracciones I, último párrafo, y IV, 98, fracción III, último párrafo, y 101 bis, fracción I.</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Adicionalmente, la iniciativa cuenta con doce artículos transitorios, en el primero, se hace referencia a la entrada en vigor del decreto; mediante el segundo se establece la obligación de expedir las leyes y modificaciones a la legislación para armonizarla conforme a lo previsto en este decreto, dentro de un plazo de ciento ochenta días naturales contado a partir de su entrada en vigor.</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El artículo tercero transitorio establece que en tanto se expiden las modificaciones a la legislación aplicable a la Fiscalía Especializada en Combate a la Corrupción, esta ejercerá las atribuciones y competencias que las leyes vigentes otorgan a la Vicefiscalía Especializada en Combate a la Corrupción.</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Por su parte, los artículos transitorios cuarto y quinto especifican que cuando se haga referencia a la Vicefiscalía Especializada en Combate a la Corrupción, se entenderá que se refieren a la Fiscalía Especializada en Combate a la Corrupción del Estado de Yucatán; y que las referencias a la Fiscalía General del Estado se entenderán hechas a la Vicefiscalía Especializada en Combate a la Corrupción, exclusivamente en cuanto a los delitos por hechos de corrupción, respectivamente.</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lastRenderedPageBreak/>
        <w:t>A través del artículo sexto transitorio se pretende garantizar que el actual vicefiscal especializado en Combate a la Corrupción ocupe el cargo de fiscal especializado en Combate a la Corrupción, hasta el término de su encargo, conforme al decreto por el que fue designado vicefiscal, con derecho a ser reelecto por una sola vez para un periodo más.</w:t>
      </w:r>
    </w:p>
    <w:p w:rsidR="00D24429" w:rsidRPr="00D24429" w:rsidRDefault="00D24429" w:rsidP="00D24429">
      <w:pPr>
        <w:spacing w:before="100" w:beforeAutospacing="1" w:after="100" w:afterAutospacing="1" w:line="240" w:lineRule="auto"/>
        <w:jc w:val="both"/>
        <w:rPr>
          <w:rFonts w:ascii="Arial" w:hAnsi="Arial" w:cs="Arial"/>
          <w:sz w:val="24"/>
          <w:szCs w:val="24"/>
          <w:lang w:eastAsia="es-MX"/>
        </w:rPr>
      </w:pPr>
      <w:r w:rsidRPr="00D24429">
        <w:rPr>
          <w:rFonts w:ascii="Arial" w:hAnsi="Arial" w:cs="Arial"/>
          <w:sz w:val="24"/>
          <w:szCs w:val="24"/>
        </w:rPr>
        <w:t xml:space="preserve">Los artículos transitorios séptimo, octavo y noveno, prevén lo relacionado con el trámite de los asuntos de la Vicefiscalía Especializada en Combate a la Corrupción que se trasladarán a la nueva fiscalía; así como la preservación de los derechos laborales de los trabajadores que serán transferidos de la Vicefiscalía Especializada en Combate a la Corrupción a la fiscalía especializada; así como lo relacionado con el traspaso de todos los </w:t>
      </w:r>
      <w:r w:rsidRPr="00D24429">
        <w:rPr>
          <w:rFonts w:ascii="Arial" w:hAnsi="Arial" w:cs="Arial"/>
          <w:sz w:val="24"/>
          <w:szCs w:val="24"/>
          <w:lang w:eastAsia="es-MX"/>
        </w:rPr>
        <w:t>recursos humanos, materiales, financieros y presupuestales con que cuenta la Vicefiscalía Especializada en Combate a la Corrupción, incluyendo todos sus bienes y los derechos derivados de fondos o fideicomisos vigentes, a la Fiscalía Especializada en Combate a la Corrupción del Estado de Yucatán.</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lang w:eastAsia="es-MX"/>
        </w:rPr>
        <w:t>Por su parte, el artículo décimo transitorio establece un régimen de exención,</w:t>
      </w:r>
      <w:r w:rsidRPr="00D24429">
        <w:rPr>
          <w:rFonts w:ascii="Arial" w:hAnsi="Arial" w:cs="Arial"/>
          <w:sz w:val="24"/>
          <w:szCs w:val="24"/>
        </w:rPr>
        <w:t xml:space="preserve"> por única ocasión,</w:t>
      </w:r>
      <w:r w:rsidRPr="00D24429">
        <w:rPr>
          <w:rFonts w:ascii="Arial" w:hAnsi="Arial" w:cs="Arial"/>
          <w:sz w:val="24"/>
          <w:szCs w:val="24"/>
          <w:lang w:eastAsia="es-MX"/>
        </w:rPr>
        <w:t xml:space="preserve"> de los derechos,  </w:t>
      </w:r>
      <w:r w:rsidRPr="00D24429">
        <w:rPr>
          <w:rFonts w:ascii="Arial" w:hAnsi="Arial" w:cs="Arial"/>
          <w:sz w:val="24"/>
          <w:szCs w:val="24"/>
        </w:rPr>
        <w:t>impuestos y obligaciones fiscales, municipales y estatales, que puedan ser causados con motivo de la regularización de sus bienes y servicios, para el cumplimiento de este decreto.</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Finalmente, los transitorios décimo primero y décimo segundo, fijan la obligación de realizar las previsiones y adecuaciones presupuestales en aras de garantizar la correcta aplicación de este decreto, así como de garantizar que los espacios y recursos que actualmente ejerce la vicefiscalía le sean respetados, en tanto se realizan las adecuaciones necesarias para garantizar su completa autonomía.</w:t>
      </w:r>
    </w:p>
    <w:p w:rsidR="00D24429" w:rsidRPr="00D24429" w:rsidRDefault="00D24429" w:rsidP="00D24429">
      <w:pPr>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rPr>
        <w:t xml:space="preserve">En este sentido, la creación de este órgano autónomo encargado de perseguir los delitos por hechos de corrupción, representaría un avance en esta materia y colocaría a Yucatán en la vanguardia en el cumplimiento de los tratados y recomendaciones internacionales, al lograr que la máxima autoridad investigadora de delitos por hechos de corrupción tenga independencia para que pueda desempeñar sus funciones de </w:t>
      </w:r>
      <w:r w:rsidRPr="00D24429">
        <w:rPr>
          <w:rFonts w:ascii="Arial" w:hAnsi="Arial" w:cs="Arial"/>
          <w:sz w:val="24"/>
          <w:szCs w:val="24"/>
          <w:lang w:val="es-ES_tradnl"/>
        </w:rPr>
        <w:t>recepción de la noticia criminal, investigación, persecución y consignación ante la autoridad jurisdiccional,</w:t>
      </w:r>
      <w:r w:rsidRPr="00D24429">
        <w:rPr>
          <w:rFonts w:ascii="Arial" w:hAnsi="Arial" w:cs="Arial"/>
          <w:sz w:val="24"/>
          <w:szCs w:val="24"/>
        </w:rPr>
        <w:t xml:space="preserve"> con la eficacia que la ciudadanía  espera de este órgano.</w:t>
      </w:r>
    </w:p>
    <w:p w:rsidR="00D24429" w:rsidRPr="00D24429" w:rsidRDefault="00D24429" w:rsidP="00D24429">
      <w:pPr>
        <w:autoSpaceDE w:val="0"/>
        <w:autoSpaceDN w:val="0"/>
        <w:adjustRightInd w:val="0"/>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b/>
          <w:sz w:val="24"/>
          <w:szCs w:val="24"/>
        </w:rPr>
        <w:lastRenderedPageBreak/>
        <w:t xml:space="preserve">Iniciativa para modificar la Constitución Política del Estado de Yucatán, </w:t>
      </w:r>
      <w:r w:rsidRPr="00D24429">
        <w:rPr>
          <w:rFonts w:ascii="Arial" w:hAnsi="Arial" w:cs="Arial"/>
          <w:b/>
          <w:sz w:val="24"/>
          <w:szCs w:val="24"/>
          <w:lang w:val="es-ES_tradnl"/>
        </w:rPr>
        <w:t>en materia de autonomía de la Fiscalía Especializada en Combate a la Corrupción del Estado de Yucatán</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b/>
          <w:sz w:val="24"/>
          <w:szCs w:val="24"/>
        </w:rPr>
        <w:t xml:space="preserve">Artículo único. Se reforman: </w:t>
      </w:r>
      <w:r w:rsidRPr="00D24429">
        <w:rPr>
          <w:rFonts w:ascii="Arial" w:hAnsi="Arial" w:cs="Arial"/>
          <w:sz w:val="24"/>
          <w:szCs w:val="24"/>
        </w:rPr>
        <w:t xml:space="preserve">la fracción XLIX del artículo 30; </w:t>
      </w:r>
      <w:r w:rsidRPr="00D24429">
        <w:rPr>
          <w:rFonts w:ascii="Arial" w:hAnsi="Arial" w:cs="Arial"/>
          <w:sz w:val="24"/>
          <w:szCs w:val="24"/>
          <w:shd w:val="clear" w:color="auto" w:fill="FFFFFF" w:themeFill="background1"/>
        </w:rPr>
        <w:t>el último párrafo de la fracción I y la fracción IV del artículo 43 Bis;</w:t>
      </w:r>
      <w:r w:rsidRPr="00D24429">
        <w:rPr>
          <w:rFonts w:ascii="Arial" w:hAnsi="Arial" w:cs="Arial"/>
          <w:sz w:val="24"/>
          <w:szCs w:val="24"/>
        </w:rPr>
        <w:t xml:space="preserve"> el párrafo tercero del artículo 62; las fracciones IV y V del artículo 73 Ter; el último párrafo de la fracción III del artículo 98; y la fracción I del artículo 101 Bis; y </w:t>
      </w:r>
      <w:r w:rsidRPr="00D24429">
        <w:rPr>
          <w:rFonts w:ascii="Arial" w:hAnsi="Arial" w:cs="Arial"/>
          <w:b/>
          <w:sz w:val="24"/>
          <w:szCs w:val="24"/>
        </w:rPr>
        <w:t xml:space="preserve">se adicionan: </w:t>
      </w:r>
      <w:r w:rsidRPr="00D24429">
        <w:rPr>
          <w:rFonts w:ascii="Arial" w:hAnsi="Arial" w:cs="Arial"/>
          <w:sz w:val="24"/>
          <w:szCs w:val="24"/>
        </w:rPr>
        <w:t xml:space="preserve">el párrafo cuarto al artículo 62; la fracción VI al artículo 73 Ter; </w:t>
      </w:r>
      <w:r w:rsidRPr="00D24429">
        <w:rPr>
          <w:rFonts w:ascii="Arial" w:hAnsi="Arial" w:cs="Arial"/>
          <w:sz w:val="24"/>
          <w:szCs w:val="24"/>
          <w:shd w:val="clear" w:color="auto" w:fill="FFFFFF" w:themeFill="background1"/>
        </w:rPr>
        <w:t>el capítulo VII</w:t>
      </w:r>
      <w:r w:rsidRPr="00D24429">
        <w:rPr>
          <w:rFonts w:ascii="Arial" w:hAnsi="Arial" w:cs="Arial"/>
          <w:sz w:val="24"/>
          <w:szCs w:val="24"/>
        </w:rPr>
        <w:t xml:space="preserve"> al título séptimo que contiene el artículo 75 Quinquies; el artículo 75 Quinquies, todos de la Constitución Política del Estado de Yucatán, para quedar como sigue:</w:t>
      </w:r>
    </w:p>
    <w:p w:rsidR="00D24429" w:rsidRPr="00D24429" w:rsidRDefault="00D24429" w:rsidP="00D24429">
      <w:pPr>
        <w:pStyle w:val="Estilo"/>
        <w:spacing w:before="100" w:beforeAutospacing="1" w:after="100" w:afterAutospacing="1"/>
        <w:rPr>
          <w:rFonts w:cs="Arial"/>
          <w:szCs w:val="24"/>
        </w:rPr>
      </w:pPr>
      <w:r w:rsidRPr="00D24429">
        <w:rPr>
          <w:rFonts w:cs="Arial"/>
          <w:b/>
          <w:szCs w:val="24"/>
        </w:rPr>
        <w:t xml:space="preserve">Artículo 30.- </w:t>
      </w:r>
      <w:r w:rsidRPr="00D24429">
        <w:rPr>
          <w:rFonts w:cs="Arial"/>
          <w:szCs w:val="24"/>
        </w:rPr>
        <w:t>…</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I.- a la XLVIII.- …</w:t>
      </w:r>
    </w:p>
    <w:p w:rsidR="00D24429" w:rsidRPr="00D24429" w:rsidRDefault="00D24429" w:rsidP="00D24429">
      <w:pPr>
        <w:pStyle w:val="Estilo"/>
        <w:spacing w:before="100" w:beforeAutospacing="1" w:after="100" w:afterAutospacing="1"/>
        <w:ind w:firstLine="709"/>
        <w:rPr>
          <w:rFonts w:cs="Arial"/>
          <w:szCs w:val="24"/>
        </w:rPr>
      </w:pPr>
      <w:r w:rsidRPr="00D24429">
        <w:rPr>
          <w:rFonts w:cs="Arial"/>
          <w:szCs w:val="24"/>
        </w:rPr>
        <w:t>XLIX.- Designar al fiscal especializado en Combate a la Corrupción, a través del mismo procedimiento dispuesto en esta Constitución para el fiscal general del estado, y</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L.- …</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b/>
          <w:sz w:val="24"/>
          <w:szCs w:val="24"/>
        </w:rPr>
        <w:t xml:space="preserve">Artículo 43 Bis.- </w:t>
      </w: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I.- …</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ind w:firstLine="709"/>
        <w:jc w:val="both"/>
        <w:rPr>
          <w:rFonts w:ascii="Arial" w:hAnsi="Arial" w:cs="Arial"/>
          <w:sz w:val="24"/>
          <w:szCs w:val="24"/>
        </w:rPr>
      </w:pPr>
      <w:r w:rsidRPr="00D24429">
        <w:rPr>
          <w:rFonts w:ascii="Arial" w:hAnsi="Arial" w:cs="Arial"/>
          <w:sz w:val="24"/>
          <w:szCs w:val="24"/>
          <w:lang w:val="es-ES_tradnl"/>
        </w:rPr>
        <w:lastRenderedPageBreak/>
        <w:t>Sin perjuicio de lo previsto en el párrafo anterior, en las situaciones y términos que determine la ley, derivado de denuncias, la Auditoría Superior del Estado, previa autorización del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que en esta se prevean. La Auditoría Superior del Estado rendirá un informe específico al Congreso y, en su caso, promoverá las acciones que correspondan ante el Tribunal de Justicia Administrativa del Estado de Yucatán, la Fiscalía Especializada en Combate a la Corrupción del Estado de Yucatán o las autoridades competentes.</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II.- y III.- …</w:t>
      </w:r>
    </w:p>
    <w:p w:rsidR="00D24429" w:rsidRPr="00D24429" w:rsidRDefault="00D24429" w:rsidP="00D24429">
      <w:pPr>
        <w:spacing w:before="100" w:beforeAutospacing="1" w:after="100" w:afterAutospacing="1" w:line="240" w:lineRule="auto"/>
        <w:ind w:firstLine="709"/>
        <w:jc w:val="both"/>
        <w:rPr>
          <w:rFonts w:ascii="Arial" w:hAnsi="Arial" w:cs="Arial"/>
          <w:sz w:val="24"/>
          <w:szCs w:val="24"/>
        </w:rPr>
      </w:pPr>
      <w:r w:rsidRPr="00D24429">
        <w:rPr>
          <w:rFonts w:ascii="Arial" w:hAnsi="Arial" w:cs="Arial"/>
          <w:sz w:val="24"/>
          <w:szCs w:val="24"/>
          <w:lang w:val="es-ES_tradnl"/>
        </w:rPr>
        <w:t>IV.- Promover, derivado de sus investigaciones, las responsabilidades que sean procedentes ante el Tribunal de Justicia Administrativa del Estado de Yucatán y la Fiscalía Especializada en Combate a la Corrupción del Estado de Yucatán, para la imposición de las sanciones que correspondan a los servidores públicos y a los particulares.</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b/>
          <w:sz w:val="24"/>
          <w:szCs w:val="24"/>
          <w:lang w:val="es-ES_tradnl"/>
        </w:rPr>
        <w:t>Artículo 62.-</w:t>
      </w:r>
      <w:r w:rsidRPr="00D24429">
        <w:rPr>
          <w:rFonts w:ascii="Arial" w:hAnsi="Arial" w:cs="Arial"/>
          <w:sz w:val="24"/>
          <w:szCs w:val="24"/>
          <w:lang w:val="es-ES_tradnl"/>
        </w:rPr>
        <w:t xml:space="preserve"> …</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lang w:val="es-ES_tradnl"/>
        </w:rPr>
        <w:t>Para el cumplimiento de su objeto, el Ministerio Público estará a cargo de la Fiscalía General del Estado de Yucatán y de la Fiscalía Especializada en Combate a la Corrupción del Estado de Yucatán.</w:t>
      </w:r>
    </w:p>
    <w:p w:rsidR="00D24429" w:rsidRPr="00D24429" w:rsidRDefault="00D24429" w:rsidP="00D24429">
      <w:pPr>
        <w:tabs>
          <w:tab w:val="center" w:pos="4419"/>
          <w:tab w:val="right" w:pos="8838"/>
        </w:tabs>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La Fiscalía General del Estado de Yucatán, es una dependencia del Poder Ejecutivo, con autonomía técnica y de gestión, bajo el mando del Fiscal General del Estado, quien será su representante legal; y se auxiliará, para la investigación de los delitos, de las instituciones policiales, que actuarán bajo su conducción y mando, de acuerdo con lo que establezcan las leyes.</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pStyle w:val="Estilo"/>
        <w:spacing w:before="100" w:beforeAutospacing="1" w:after="100" w:afterAutospacing="1"/>
        <w:rPr>
          <w:rFonts w:cs="Arial"/>
          <w:szCs w:val="24"/>
        </w:rPr>
      </w:pPr>
      <w:r w:rsidRPr="00D24429">
        <w:rPr>
          <w:rFonts w:cs="Arial"/>
          <w:szCs w:val="24"/>
        </w:rPr>
        <w:lastRenderedPageBreak/>
        <w:t>…</w:t>
      </w:r>
    </w:p>
    <w:p w:rsidR="00D24429" w:rsidRPr="00D24429" w:rsidRDefault="00D24429" w:rsidP="00D24429">
      <w:pPr>
        <w:pStyle w:val="Estilo"/>
        <w:spacing w:before="100" w:beforeAutospacing="1" w:after="100" w:afterAutospacing="1"/>
        <w:rPr>
          <w:rFonts w:cs="Arial"/>
          <w:szCs w:val="24"/>
        </w:rPr>
      </w:pPr>
      <w:r w:rsidRPr="00D24429">
        <w:rPr>
          <w:rFonts w:cs="Arial"/>
          <w:szCs w:val="24"/>
        </w:rPr>
        <w:t>…</w:t>
      </w:r>
    </w:p>
    <w:p w:rsidR="00D24429" w:rsidRPr="00D24429" w:rsidRDefault="00D24429" w:rsidP="00D24429">
      <w:pPr>
        <w:pStyle w:val="Estilo"/>
        <w:spacing w:before="100" w:beforeAutospacing="1" w:after="100" w:afterAutospacing="1"/>
        <w:rPr>
          <w:rFonts w:cs="Arial"/>
          <w:szCs w:val="24"/>
        </w:rPr>
      </w:pPr>
      <w:r w:rsidRPr="00D24429">
        <w:rPr>
          <w:rFonts w:cs="Arial"/>
          <w:szCs w:val="24"/>
        </w:rPr>
        <w:t>…</w:t>
      </w:r>
    </w:p>
    <w:p w:rsidR="00D24429" w:rsidRPr="00D24429" w:rsidRDefault="00D24429" w:rsidP="00D24429">
      <w:pPr>
        <w:pStyle w:val="Estilo"/>
        <w:spacing w:before="100" w:beforeAutospacing="1" w:after="100" w:afterAutospacing="1"/>
        <w:rPr>
          <w:rFonts w:cs="Arial"/>
          <w:szCs w:val="24"/>
        </w:rPr>
      </w:pPr>
      <w:r w:rsidRPr="00D24429">
        <w:rPr>
          <w:rFonts w:cs="Arial"/>
          <w:szCs w:val="24"/>
        </w:rPr>
        <w:t>…</w:t>
      </w:r>
    </w:p>
    <w:p w:rsidR="00D24429" w:rsidRPr="00D24429" w:rsidRDefault="00D24429" w:rsidP="00D24429">
      <w:pPr>
        <w:pStyle w:val="Estilo"/>
        <w:spacing w:before="100" w:beforeAutospacing="1" w:after="100" w:afterAutospacing="1"/>
        <w:rPr>
          <w:rFonts w:cs="Arial"/>
          <w:szCs w:val="24"/>
        </w:rPr>
      </w:pPr>
      <w:r w:rsidRPr="00D24429">
        <w:rPr>
          <w:rFonts w:cs="Arial"/>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b/>
          <w:sz w:val="24"/>
          <w:szCs w:val="24"/>
        </w:rPr>
        <w:t xml:space="preserve">Artículo 73 Ter.- </w:t>
      </w:r>
      <w:r w:rsidRPr="00D24429">
        <w:rPr>
          <w:rFonts w:ascii="Arial" w:hAnsi="Arial" w:cs="Arial"/>
          <w:sz w:val="24"/>
          <w:szCs w:val="24"/>
        </w:rPr>
        <w:t>…</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I.- a la III.- …</w:t>
      </w:r>
    </w:p>
    <w:p w:rsidR="00D24429" w:rsidRPr="00D24429" w:rsidRDefault="00D24429" w:rsidP="00D24429">
      <w:pPr>
        <w:pStyle w:val="Estilo"/>
        <w:spacing w:before="100" w:beforeAutospacing="1" w:after="100" w:afterAutospacing="1"/>
        <w:ind w:firstLine="709"/>
        <w:rPr>
          <w:rFonts w:cs="Arial"/>
          <w:szCs w:val="24"/>
        </w:rPr>
      </w:pPr>
      <w:r w:rsidRPr="00D24429">
        <w:rPr>
          <w:rFonts w:cs="Arial"/>
          <w:szCs w:val="24"/>
        </w:rPr>
        <w:t>IV.- El Tribunal Electoral del Estado de Yucatán;</w:t>
      </w:r>
    </w:p>
    <w:p w:rsidR="00D24429" w:rsidRPr="00D24429" w:rsidRDefault="00D24429" w:rsidP="00D24429">
      <w:pPr>
        <w:pStyle w:val="Estilo"/>
        <w:spacing w:before="100" w:beforeAutospacing="1" w:after="100" w:afterAutospacing="1"/>
        <w:ind w:firstLine="709"/>
        <w:rPr>
          <w:rFonts w:cs="Arial"/>
          <w:szCs w:val="24"/>
        </w:rPr>
      </w:pPr>
      <w:r w:rsidRPr="00D24429">
        <w:rPr>
          <w:rFonts w:cs="Arial"/>
          <w:szCs w:val="24"/>
        </w:rPr>
        <w:t>V.- El Tribunal de Justicia Administrativa del Estado de Yucatán, y</w:t>
      </w:r>
    </w:p>
    <w:p w:rsidR="00D24429" w:rsidRPr="00D24429" w:rsidRDefault="00D24429" w:rsidP="00D24429">
      <w:pPr>
        <w:spacing w:before="100" w:beforeAutospacing="1" w:after="100" w:afterAutospacing="1" w:line="240" w:lineRule="auto"/>
        <w:ind w:firstLine="709"/>
        <w:jc w:val="both"/>
        <w:rPr>
          <w:rFonts w:ascii="Arial" w:hAnsi="Arial" w:cs="Arial"/>
          <w:sz w:val="24"/>
          <w:szCs w:val="24"/>
        </w:rPr>
      </w:pPr>
      <w:r w:rsidRPr="00D24429">
        <w:rPr>
          <w:rFonts w:ascii="Arial" w:hAnsi="Arial" w:cs="Arial"/>
          <w:sz w:val="24"/>
          <w:szCs w:val="24"/>
          <w:lang w:val="es-ES_tradnl"/>
        </w:rPr>
        <w:t>VI.- La Fiscalía Especializada en Combate a la Corrupción del Estado de Yucatán.</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pStyle w:val="Estilo"/>
        <w:spacing w:before="100" w:beforeAutospacing="1" w:after="100" w:afterAutospacing="1"/>
        <w:jc w:val="center"/>
        <w:rPr>
          <w:rFonts w:cs="Arial"/>
          <w:b/>
          <w:szCs w:val="24"/>
        </w:rPr>
      </w:pPr>
      <w:r w:rsidRPr="00D24429">
        <w:rPr>
          <w:rFonts w:cs="Arial"/>
          <w:b/>
          <w:szCs w:val="24"/>
        </w:rPr>
        <w:t>CAPÍTULO VII</w:t>
      </w:r>
      <w:r w:rsidRPr="00D24429">
        <w:rPr>
          <w:rFonts w:cs="Arial"/>
          <w:b/>
          <w:szCs w:val="24"/>
        </w:rPr>
        <w:br/>
        <w:t>De la Fiscalía Especializada en Combate a la Corrupción del Estado de Yucatán</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b/>
          <w:sz w:val="24"/>
          <w:szCs w:val="24"/>
        </w:rPr>
        <w:t>Artículo 75 Quinquies.-</w:t>
      </w:r>
      <w:r w:rsidRPr="00D24429">
        <w:rPr>
          <w:rFonts w:ascii="Arial" w:hAnsi="Arial" w:cs="Arial"/>
          <w:sz w:val="24"/>
          <w:szCs w:val="24"/>
        </w:rPr>
        <w:t xml:space="preserve"> La Fiscalía Especializada en Combate a la Corrupción del Estado de Yucatán es un organismo público autónomo</w:t>
      </w:r>
      <w:r w:rsidRPr="00D24429">
        <w:rPr>
          <w:rFonts w:ascii="Arial" w:hAnsi="Arial" w:cs="Arial"/>
          <w:sz w:val="24"/>
          <w:szCs w:val="24"/>
          <w:lang w:val="es-ES_tradnl"/>
        </w:rPr>
        <w:t>, con personalidad jurídica y patrimonio propios, con plena autonomía técnica, presupuestal y de gestión, con capacidad para determinar su organización interna y el ejercicio de sus recursos con arreglo a las normas aplicables, cuyo objeto es investigar, perseguir y consignar ante la autoridad jurisdiccional las conductas que la ley prevé como delitos por hechos de corrupción.</w:t>
      </w:r>
    </w:p>
    <w:p w:rsidR="00D24429" w:rsidRPr="00D24429" w:rsidRDefault="00D24429" w:rsidP="00D24429">
      <w:pPr>
        <w:pStyle w:val="Estilo"/>
        <w:spacing w:before="100" w:beforeAutospacing="1" w:after="100" w:afterAutospacing="1"/>
        <w:rPr>
          <w:rFonts w:cs="Arial"/>
          <w:szCs w:val="24"/>
          <w:lang w:val="es-ES_tradnl"/>
        </w:rPr>
      </w:pPr>
      <w:r w:rsidRPr="00D24429">
        <w:rPr>
          <w:rFonts w:cs="Arial"/>
          <w:szCs w:val="24"/>
          <w:lang w:val="es-ES_tradnl"/>
        </w:rPr>
        <w:t>El Fiscal Especializado en Combate a la Corrupción del Estado de Yucatán durará en el cargo siete años, al término de los cuales podrá ser ratificado para un segundo período de la misma duración.</w:t>
      </w:r>
    </w:p>
    <w:p w:rsidR="00D24429" w:rsidRPr="00D24429" w:rsidRDefault="00D24429" w:rsidP="00D24429">
      <w:pPr>
        <w:tabs>
          <w:tab w:val="center" w:pos="4419"/>
          <w:tab w:val="right" w:pos="8838"/>
        </w:tabs>
        <w:spacing w:before="100" w:beforeAutospacing="1" w:after="100" w:afterAutospacing="1" w:line="240" w:lineRule="auto"/>
        <w:jc w:val="both"/>
        <w:rPr>
          <w:rFonts w:ascii="Arial" w:hAnsi="Arial" w:cs="Arial"/>
          <w:sz w:val="24"/>
          <w:szCs w:val="24"/>
          <w:lang w:val="es-ES_tradnl"/>
        </w:rPr>
      </w:pPr>
      <w:r w:rsidRPr="00D24429">
        <w:rPr>
          <w:rFonts w:ascii="Arial" w:hAnsi="Arial" w:cs="Arial"/>
          <w:sz w:val="24"/>
          <w:szCs w:val="24"/>
          <w:lang w:val="es-ES_tradnl"/>
        </w:rPr>
        <w:t xml:space="preserve">El Fiscal Especializado en Combate a la Corrupción será designado conforme al mismo procedimiento previsto para el Fiscal General del Estado y solo podrá ser </w:t>
      </w:r>
      <w:r w:rsidRPr="00D24429">
        <w:rPr>
          <w:rFonts w:ascii="Arial" w:hAnsi="Arial" w:cs="Arial"/>
          <w:sz w:val="24"/>
          <w:szCs w:val="24"/>
          <w:lang w:val="es-ES_tradnl"/>
        </w:rPr>
        <w:lastRenderedPageBreak/>
        <w:t>removido, por las causas graves que la ley señale, con la misma votación requerida para su nombramiento, o por las causas y conforme a los procedimientos previstos en el Título Décimo de esta Constitución.</w:t>
      </w:r>
    </w:p>
    <w:p w:rsidR="00D24429" w:rsidRPr="00D24429" w:rsidRDefault="00D24429" w:rsidP="00D24429">
      <w:pPr>
        <w:pStyle w:val="Estilo"/>
        <w:spacing w:before="100" w:beforeAutospacing="1" w:after="100" w:afterAutospacing="1"/>
        <w:rPr>
          <w:rFonts w:cs="Arial"/>
          <w:szCs w:val="24"/>
        </w:rPr>
      </w:pPr>
      <w:r w:rsidRPr="00D24429">
        <w:rPr>
          <w:rFonts w:cs="Arial"/>
          <w:szCs w:val="24"/>
        </w:rPr>
        <w:t>El fiscal especializado en Combate a la Corrupción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b/>
          <w:sz w:val="24"/>
          <w:szCs w:val="24"/>
          <w:lang w:val="es-ES_tradnl"/>
        </w:rPr>
        <w:t xml:space="preserve">Artículo 98.- </w:t>
      </w:r>
      <w:r w:rsidRPr="00D24429">
        <w:rPr>
          <w:rFonts w:ascii="Arial" w:hAnsi="Arial" w:cs="Arial"/>
          <w:sz w:val="24"/>
          <w:szCs w:val="24"/>
          <w:lang w:val="es-ES_tradnl"/>
        </w:rPr>
        <w:t>…</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lang w:val="es-ES_tradnl"/>
        </w:rPr>
        <w:t>I.- y II.- …</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III.- …</w:t>
      </w:r>
    </w:p>
    <w:p w:rsidR="00D24429" w:rsidRPr="00D24429" w:rsidRDefault="00D24429" w:rsidP="00FD0F9C">
      <w:pPr>
        <w:spacing w:before="100" w:beforeAutospacing="1" w:after="100" w:afterAutospacing="1" w:line="240" w:lineRule="auto"/>
        <w:ind w:left="708"/>
        <w:rPr>
          <w:rFonts w:ascii="Arial" w:hAnsi="Arial" w:cs="Arial"/>
          <w:sz w:val="24"/>
          <w:szCs w:val="24"/>
        </w:rPr>
      </w:pPr>
      <w:r w:rsidRPr="00D24429">
        <w:rPr>
          <w:rFonts w:ascii="Arial" w:hAnsi="Arial" w:cs="Arial"/>
          <w:sz w:val="24"/>
          <w:szCs w:val="24"/>
        </w:rPr>
        <w:t>…</w:t>
      </w:r>
    </w:p>
    <w:p w:rsidR="00D24429" w:rsidRPr="00D24429" w:rsidRDefault="00D24429" w:rsidP="00FD0F9C">
      <w:pPr>
        <w:spacing w:before="100" w:beforeAutospacing="1" w:after="100" w:afterAutospacing="1" w:line="240" w:lineRule="auto"/>
        <w:ind w:left="708"/>
        <w:rPr>
          <w:rFonts w:ascii="Arial" w:hAnsi="Arial" w:cs="Arial"/>
          <w:sz w:val="24"/>
          <w:szCs w:val="24"/>
        </w:rPr>
      </w:pPr>
      <w:r w:rsidRPr="00D24429">
        <w:rPr>
          <w:rFonts w:ascii="Arial" w:hAnsi="Arial" w:cs="Arial"/>
          <w:sz w:val="24"/>
          <w:szCs w:val="24"/>
        </w:rPr>
        <w:t>…</w:t>
      </w:r>
    </w:p>
    <w:p w:rsidR="00D24429" w:rsidRPr="00D24429" w:rsidRDefault="00D24429" w:rsidP="00FD0F9C">
      <w:pPr>
        <w:spacing w:before="100" w:beforeAutospacing="1" w:after="100" w:afterAutospacing="1" w:line="240" w:lineRule="auto"/>
        <w:ind w:left="708"/>
        <w:rPr>
          <w:rFonts w:ascii="Arial" w:hAnsi="Arial" w:cs="Arial"/>
          <w:sz w:val="24"/>
          <w:szCs w:val="24"/>
        </w:rPr>
      </w:pPr>
      <w:r w:rsidRPr="00D24429">
        <w:rPr>
          <w:rFonts w:ascii="Arial" w:hAnsi="Arial" w:cs="Arial"/>
          <w:sz w:val="24"/>
          <w:szCs w:val="24"/>
        </w:rPr>
        <w:t>…</w:t>
      </w:r>
    </w:p>
    <w:p w:rsidR="00D24429" w:rsidRPr="00D24429" w:rsidRDefault="00D24429" w:rsidP="00D24429">
      <w:pPr>
        <w:pStyle w:val="Estilo"/>
        <w:spacing w:before="100" w:beforeAutospacing="1" w:after="100" w:afterAutospacing="1"/>
        <w:rPr>
          <w:rFonts w:cs="Arial"/>
          <w:szCs w:val="24"/>
        </w:rPr>
      </w:pPr>
      <w:r w:rsidRPr="00D24429">
        <w:rPr>
          <w:rFonts w:cs="Arial"/>
          <w:szCs w:val="24"/>
        </w:rPr>
        <w:t>Los entes públicos estatales y municipales tendrán órganos internos de control con las facultades que determine la ley para prevenir, corregir e investigar actos u omisiones que pudieran constituir responsabilidades administrativas; para sancionar aquellas distintas a las que son competencia del Tribunal de Justicia Administrativa del Estado de Yucatán; revisar el ingreso, egreso, manejo, custodia y aplicación de recursos públicos; así como presentar las denuncias por hechos u omisiones que pudieran ser constitutivos de delito ante la Fiscalía Especializada en Combate a la Corrupción del Estado de Yucatán.</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IV.- …</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rPr>
        <w:t>…</w:t>
      </w:r>
    </w:p>
    <w:p w:rsidR="00D24429" w:rsidRPr="00D24429" w:rsidRDefault="00D24429" w:rsidP="00D24429">
      <w:pPr>
        <w:spacing w:before="100" w:beforeAutospacing="1" w:after="100" w:afterAutospacing="1" w:line="240" w:lineRule="auto"/>
        <w:rPr>
          <w:rFonts w:ascii="Arial" w:hAnsi="Arial" w:cs="Arial"/>
          <w:b/>
          <w:sz w:val="24"/>
          <w:szCs w:val="24"/>
        </w:rPr>
      </w:pPr>
      <w:r w:rsidRPr="00D24429">
        <w:rPr>
          <w:rFonts w:ascii="Arial" w:hAnsi="Arial" w:cs="Arial"/>
          <w:b/>
          <w:sz w:val="24"/>
          <w:szCs w:val="24"/>
          <w:lang w:val="es-ES_tradnl"/>
        </w:rPr>
        <w:t xml:space="preserve">Artículo 101 Bis.- </w:t>
      </w:r>
      <w:r w:rsidRPr="00D24429">
        <w:rPr>
          <w:rFonts w:ascii="Arial" w:hAnsi="Arial" w:cs="Arial"/>
          <w:sz w:val="24"/>
          <w:szCs w:val="24"/>
          <w:lang w:val="es-ES_tradnl"/>
        </w:rPr>
        <w:t>…</w:t>
      </w:r>
    </w:p>
    <w:p w:rsidR="00D24429" w:rsidRPr="00D24429" w:rsidRDefault="00D24429" w:rsidP="00D24429">
      <w:pPr>
        <w:spacing w:before="100" w:beforeAutospacing="1" w:after="100" w:afterAutospacing="1" w:line="240" w:lineRule="auto"/>
        <w:rPr>
          <w:rFonts w:ascii="Arial" w:hAnsi="Arial" w:cs="Arial"/>
          <w:sz w:val="24"/>
          <w:szCs w:val="24"/>
        </w:rPr>
      </w:pPr>
      <w:r w:rsidRPr="00D24429">
        <w:rPr>
          <w:rFonts w:ascii="Arial" w:hAnsi="Arial" w:cs="Arial"/>
          <w:sz w:val="24"/>
          <w:szCs w:val="24"/>
          <w:lang w:val="es-ES_tradnl"/>
        </w:rPr>
        <w:lastRenderedPageBreak/>
        <w:t>…</w:t>
      </w:r>
    </w:p>
    <w:p w:rsidR="00D24429" w:rsidRPr="00D24429" w:rsidRDefault="00D24429" w:rsidP="00D24429">
      <w:pPr>
        <w:pStyle w:val="Estilo"/>
        <w:spacing w:before="100" w:beforeAutospacing="1" w:after="100" w:afterAutospacing="1"/>
        <w:ind w:firstLine="709"/>
        <w:rPr>
          <w:rFonts w:cs="Arial"/>
          <w:szCs w:val="24"/>
        </w:rPr>
      </w:pPr>
      <w:r w:rsidRPr="00D24429">
        <w:rPr>
          <w:rFonts w:cs="Arial"/>
          <w:szCs w:val="24"/>
        </w:rPr>
        <w:t>I.- El sistema contará con un comité coordinador que estará integrado por los titulares de la Auditoría Superior del Estado; de la Fiscalía Especializada en Combate a la Corrupción del Estado de Yucatán; de la secretaría del Ejecutivo estatal responsable del control interno; por el presidente del Tribunal de Justicia Administrativa del Estado de Yucatán; el presidente del Instituto Estatal de Transparencia, Acceso a la Información Pública y Protección de Datos Personales; así como por un representante del Consejo de la Judicatura del Estado y otro del comité de participación ciudadana.</w:t>
      </w:r>
    </w:p>
    <w:p w:rsidR="00D24429" w:rsidRPr="00D24429" w:rsidRDefault="00D24429" w:rsidP="00D24429">
      <w:pPr>
        <w:spacing w:before="100" w:beforeAutospacing="1" w:after="100" w:afterAutospacing="1" w:line="240" w:lineRule="auto"/>
        <w:ind w:firstLine="709"/>
        <w:rPr>
          <w:rFonts w:ascii="Arial" w:hAnsi="Arial" w:cs="Arial"/>
          <w:sz w:val="24"/>
          <w:szCs w:val="24"/>
        </w:rPr>
      </w:pPr>
      <w:r w:rsidRPr="00D24429">
        <w:rPr>
          <w:rFonts w:ascii="Arial" w:hAnsi="Arial" w:cs="Arial"/>
          <w:sz w:val="24"/>
          <w:szCs w:val="24"/>
        </w:rPr>
        <w:t>II.- y III.- …</w:t>
      </w:r>
    </w:p>
    <w:p w:rsidR="00D24429" w:rsidRPr="00D24429" w:rsidRDefault="00D24429" w:rsidP="00D24429">
      <w:pPr>
        <w:spacing w:before="100" w:beforeAutospacing="1" w:after="100" w:afterAutospacing="1" w:line="240" w:lineRule="auto"/>
        <w:jc w:val="center"/>
        <w:rPr>
          <w:rFonts w:ascii="Arial" w:hAnsi="Arial" w:cs="Arial"/>
          <w:sz w:val="24"/>
          <w:szCs w:val="24"/>
        </w:rPr>
      </w:pPr>
      <w:r w:rsidRPr="00D24429">
        <w:rPr>
          <w:rFonts w:ascii="Arial" w:hAnsi="Arial" w:cs="Arial"/>
          <w:b/>
          <w:sz w:val="24"/>
          <w:szCs w:val="24"/>
        </w:rPr>
        <w:t>Artículos transitorios</w:t>
      </w:r>
    </w:p>
    <w:p w:rsidR="00D24429" w:rsidRPr="00D24429" w:rsidRDefault="00D24429" w:rsidP="00D24429">
      <w:pPr>
        <w:spacing w:before="100" w:beforeAutospacing="1" w:after="100" w:afterAutospacing="1" w:line="240" w:lineRule="auto"/>
        <w:rPr>
          <w:rFonts w:ascii="Arial" w:hAnsi="Arial" w:cs="Arial"/>
          <w:b/>
          <w:sz w:val="24"/>
          <w:szCs w:val="24"/>
        </w:rPr>
      </w:pPr>
      <w:r w:rsidRPr="00D24429">
        <w:rPr>
          <w:rFonts w:ascii="Arial" w:hAnsi="Arial" w:cs="Arial"/>
          <w:b/>
          <w:sz w:val="24"/>
          <w:szCs w:val="24"/>
        </w:rPr>
        <w:t>Primero. Entrada en vigor</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Este decreto entrará en vigor el 1 de enero de 2020, previa publicación en el Diario Oficial del Gobierno del Estado de Yucatán.</w:t>
      </w:r>
    </w:p>
    <w:p w:rsidR="00D24429" w:rsidRPr="00D24429" w:rsidRDefault="00D24429" w:rsidP="00D24429">
      <w:pPr>
        <w:spacing w:before="100" w:beforeAutospacing="1" w:after="100" w:afterAutospacing="1" w:line="240" w:lineRule="auto"/>
        <w:jc w:val="both"/>
        <w:rPr>
          <w:rFonts w:ascii="Arial" w:hAnsi="Arial" w:cs="Arial"/>
          <w:b/>
          <w:sz w:val="24"/>
          <w:szCs w:val="24"/>
        </w:rPr>
      </w:pPr>
      <w:r w:rsidRPr="00D24429">
        <w:rPr>
          <w:rFonts w:ascii="Arial" w:hAnsi="Arial" w:cs="Arial"/>
          <w:b/>
          <w:sz w:val="24"/>
          <w:szCs w:val="24"/>
        </w:rPr>
        <w:t>Segundo. Obligación normativa</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El Congreso del estado deberá expedir las leyes y modificaciones a la legislación para armonizarla conforme a lo previsto en este decreto, dentro de un plazo de ciento ochenta días naturales contado a partir de su entrada en vigor.</w:t>
      </w:r>
    </w:p>
    <w:p w:rsidR="00D24429" w:rsidRPr="00D24429" w:rsidRDefault="00D24429" w:rsidP="00D24429">
      <w:pPr>
        <w:spacing w:before="100" w:beforeAutospacing="1" w:after="100" w:afterAutospacing="1" w:line="240" w:lineRule="auto"/>
        <w:jc w:val="both"/>
        <w:rPr>
          <w:rFonts w:ascii="Arial" w:hAnsi="Arial" w:cs="Arial"/>
          <w:b/>
          <w:sz w:val="24"/>
          <w:szCs w:val="24"/>
        </w:rPr>
      </w:pPr>
      <w:r w:rsidRPr="00D24429">
        <w:rPr>
          <w:rFonts w:ascii="Arial" w:hAnsi="Arial" w:cs="Arial"/>
          <w:b/>
          <w:sz w:val="24"/>
          <w:szCs w:val="24"/>
        </w:rPr>
        <w:t>Tercero. Legislación transitoria</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En tanto se expiden las modificaciones a la legislación aplicable a la Fiscalía Especializada en Combate a la Corrupción, esta ejercerá las atribuciones y competencias que las leyes vigentes otorgan a la Vicefiscalía Especializada en Combate a la Corrupción.</w:t>
      </w:r>
    </w:p>
    <w:p w:rsidR="00D24429" w:rsidRPr="00D24429" w:rsidRDefault="00D24429" w:rsidP="00D24429">
      <w:pPr>
        <w:pStyle w:val="Estilo"/>
        <w:spacing w:before="100" w:beforeAutospacing="1" w:after="100" w:afterAutospacing="1"/>
        <w:rPr>
          <w:rFonts w:cs="Arial"/>
          <w:szCs w:val="24"/>
        </w:rPr>
      </w:pPr>
      <w:r w:rsidRPr="00D24429">
        <w:rPr>
          <w:rFonts w:cs="Arial"/>
          <w:b/>
          <w:szCs w:val="24"/>
        </w:rPr>
        <w:t>Cuarto. Referencia</w:t>
      </w:r>
    </w:p>
    <w:p w:rsidR="00D24429" w:rsidRPr="00D24429" w:rsidRDefault="00D24429" w:rsidP="00D24429">
      <w:pPr>
        <w:tabs>
          <w:tab w:val="right" w:pos="8498"/>
        </w:tabs>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En lo sucesivo, cuando en alguna norma se haga referencia a la Vicefiscalía Especializada en Combate a la Corrupción, se entenderá hecha a la Fiscalía Especializada en Combate a la Corrupción del Estado de Yucatán.</w:t>
      </w:r>
    </w:p>
    <w:p w:rsidR="00D24429" w:rsidRPr="00D24429" w:rsidRDefault="00D24429" w:rsidP="00D24429">
      <w:pPr>
        <w:pStyle w:val="Estilo"/>
        <w:spacing w:before="100" w:beforeAutospacing="1" w:after="100" w:afterAutospacing="1"/>
        <w:rPr>
          <w:rFonts w:cs="Arial"/>
          <w:b/>
          <w:szCs w:val="24"/>
          <w:lang w:val="es-ES_tradnl"/>
        </w:rPr>
      </w:pPr>
      <w:r w:rsidRPr="00D24429">
        <w:rPr>
          <w:rFonts w:cs="Arial"/>
          <w:b/>
          <w:szCs w:val="24"/>
        </w:rPr>
        <w:t xml:space="preserve">Quinto. </w:t>
      </w:r>
      <w:r w:rsidRPr="00D24429">
        <w:rPr>
          <w:rFonts w:cs="Arial"/>
          <w:b/>
          <w:szCs w:val="24"/>
          <w:lang w:val="es-ES_tradnl"/>
        </w:rPr>
        <w:t>Referencia a la Fiscalía General del Estado</w:t>
      </w:r>
    </w:p>
    <w:p w:rsidR="00D24429" w:rsidRPr="00D24429" w:rsidRDefault="00D24429" w:rsidP="00D24429">
      <w:pPr>
        <w:pStyle w:val="Estilo"/>
        <w:spacing w:before="100" w:beforeAutospacing="1" w:after="100" w:afterAutospacing="1"/>
        <w:rPr>
          <w:rFonts w:cs="Arial"/>
          <w:szCs w:val="24"/>
          <w:lang w:val="es-ES_tradnl"/>
        </w:rPr>
      </w:pPr>
      <w:r w:rsidRPr="00D24429">
        <w:rPr>
          <w:rFonts w:cs="Arial"/>
          <w:szCs w:val="24"/>
          <w:lang w:val="es-ES_tradnl"/>
        </w:rPr>
        <w:lastRenderedPageBreak/>
        <w:t>En los casos en los que las leyes le otorguen facultades y obligaciones a la Fiscalía General del Estado de Yucatán, se entenderá que dichas facultades y obligaciones son propias de la Fiscalía Especializada en Combate a la Corrupción del Estado de Yucatán, exclusivamente en cuanto a los delitos por hechos de corrupción.</w:t>
      </w:r>
    </w:p>
    <w:p w:rsidR="00D24429" w:rsidRPr="00D24429" w:rsidRDefault="00D24429" w:rsidP="00D24429">
      <w:pPr>
        <w:tabs>
          <w:tab w:val="right" w:pos="8498"/>
        </w:tabs>
        <w:spacing w:before="100" w:beforeAutospacing="1" w:after="100" w:afterAutospacing="1" w:line="240" w:lineRule="auto"/>
        <w:jc w:val="both"/>
        <w:rPr>
          <w:rFonts w:ascii="Arial" w:hAnsi="Arial" w:cs="Arial"/>
          <w:b/>
          <w:sz w:val="24"/>
          <w:szCs w:val="24"/>
        </w:rPr>
      </w:pPr>
      <w:r w:rsidRPr="00D24429">
        <w:rPr>
          <w:rFonts w:ascii="Arial" w:hAnsi="Arial" w:cs="Arial"/>
          <w:b/>
          <w:sz w:val="24"/>
          <w:szCs w:val="24"/>
        </w:rPr>
        <w:t>Sexto. Vicefiscal especializado</w:t>
      </w:r>
    </w:p>
    <w:p w:rsidR="00D24429" w:rsidRPr="00D24429" w:rsidRDefault="00D24429" w:rsidP="00D24429">
      <w:pPr>
        <w:tabs>
          <w:tab w:val="right" w:pos="8498"/>
        </w:tabs>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Con el objeto de no afectar derechos adquiridos con anterioridad a este decreto, el vicefiscal especializado en Combate a la Corrupción, que hasta antes de la entrada en vigor de este decreto se desempeñaba como tal, continuará como fiscal especializado en Combate a la Corrupción a partir de la entrada en vigor de este decreto y concluirá su cargo en los términos del decreto relativo a su nombramiento respectivo, con derecho a ser reelecto por una sola vez para un periodo más en términos del artículo 75 Quinquies de este decreto.</w:t>
      </w:r>
    </w:p>
    <w:p w:rsidR="00D24429" w:rsidRPr="00D24429" w:rsidRDefault="00D24429" w:rsidP="00D24429">
      <w:pPr>
        <w:spacing w:before="100" w:beforeAutospacing="1" w:after="100" w:afterAutospacing="1" w:line="240" w:lineRule="auto"/>
        <w:jc w:val="both"/>
        <w:rPr>
          <w:rFonts w:ascii="Arial" w:hAnsi="Arial" w:cs="Arial"/>
          <w:b/>
          <w:sz w:val="24"/>
          <w:szCs w:val="24"/>
        </w:rPr>
      </w:pPr>
      <w:r w:rsidRPr="00D24429">
        <w:rPr>
          <w:rFonts w:ascii="Arial" w:hAnsi="Arial" w:cs="Arial"/>
          <w:b/>
          <w:sz w:val="24"/>
          <w:szCs w:val="24"/>
        </w:rPr>
        <w:t>Séptimo. Trámite de asuntos</w:t>
      </w:r>
    </w:p>
    <w:p w:rsidR="00D24429" w:rsidRPr="00D24429" w:rsidRDefault="00D24429" w:rsidP="00D24429">
      <w:pPr>
        <w:pStyle w:val="Estilo"/>
        <w:spacing w:before="100" w:beforeAutospacing="1" w:after="100" w:afterAutospacing="1"/>
        <w:rPr>
          <w:rFonts w:cs="Arial"/>
          <w:szCs w:val="24"/>
        </w:rPr>
      </w:pPr>
      <w:r w:rsidRPr="00D24429">
        <w:rPr>
          <w:rFonts w:cs="Arial"/>
          <w:szCs w:val="24"/>
        </w:rPr>
        <w:t>Las carpetas de investigación, acuerdos, convenios, así como los asuntos, expedientes y demás actos jurídicos pendientes y en trámite, que se encuentren bajo cualquier concepto en la Vicefiscalía Especializada en Combate a la Corrupción, se transferirán y quedarán a cargo de la Fiscalía Especializada en Combate a la Corrupción del Estado de Yucatán, a partir de la entrada en vigor de este decreto.</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b/>
          <w:sz w:val="24"/>
          <w:szCs w:val="24"/>
          <w:lang w:eastAsia="es-MX"/>
        </w:rPr>
        <w:t>Octavo. Derechos laborales</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lang w:eastAsia="es-MX"/>
        </w:rPr>
        <w:t>Los trabajadores que se encuentren prestando sus servicios en la Vicefiscalía Especializada en Combate a la Corrupción, a la entrada en vigor de este decreto, seguirán conservando su misma calidad y derechos laborales que les corresponden ante la Fiscalía Especializada en Combate a la Corrupción del Estado de Yucatán, en los términos de la legislación aplicable.</w:t>
      </w:r>
    </w:p>
    <w:p w:rsidR="00D24429" w:rsidRPr="00D24429" w:rsidRDefault="00D24429" w:rsidP="00D24429">
      <w:pPr>
        <w:spacing w:before="100" w:beforeAutospacing="1" w:after="100" w:afterAutospacing="1" w:line="240" w:lineRule="auto"/>
        <w:jc w:val="both"/>
        <w:rPr>
          <w:rFonts w:ascii="Arial" w:hAnsi="Arial" w:cs="Arial"/>
          <w:b/>
          <w:sz w:val="24"/>
          <w:szCs w:val="24"/>
        </w:rPr>
      </w:pPr>
      <w:r w:rsidRPr="00D24429">
        <w:rPr>
          <w:rFonts w:ascii="Arial" w:hAnsi="Arial" w:cs="Arial"/>
          <w:b/>
          <w:sz w:val="24"/>
          <w:szCs w:val="24"/>
        </w:rPr>
        <w:t>Noveno. Transferencia de recursos</w:t>
      </w:r>
    </w:p>
    <w:p w:rsidR="00D24429" w:rsidRPr="00D24429" w:rsidRDefault="00D24429" w:rsidP="00D24429">
      <w:pPr>
        <w:pStyle w:val="Estilo"/>
        <w:spacing w:before="100" w:beforeAutospacing="1" w:after="100" w:afterAutospacing="1"/>
        <w:rPr>
          <w:rFonts w:cs="Arial"/>
          <w:szCs w:val="24"/>
        </w:rPr>
      </w:pPr>
      <w:r w:rsidRPr="00D24429">
        <w:rPr>
          <w:rFonts w:cs="Arial"/>
          <w:szCs w:val="24"/>
          <w:lang w:eastAsia="es-MX"/>
        </w:rPr>
        <w:t>Los recursos humanos, materiales, financieros y presupuestales con que cuenta la Vicefiscalía Especializada en Combate a la Corrupción, incluyendo todos sus bienes y los derechos derivados de fondos o fideicomisos vigentes, pasarán a formar parte de la Fiscalía Especializada en Combate a la Corrupción del Estado de Yucatán.</w:t>
      </w:r>
    </w:p>
    <w:p w:rsidR="00D24429" w:rsidRPr="00D24429" w:rsidRDefault="006C131D" w:rsidP="00D24429">
      <w:pPr>
        <w:tabs>
          <w:tab w:val="right" w:pos="8498"/>
        </w:tabs>
        <w:spacing w:before="100" w:beforeAutospacing="1" w:after="100" w:afterAutospacing="1" w:line="240" w:lineRule="auto"/>
        <w:jc w:val="both"/>
        <w:rPr>
          <w:rFonts w:ascii="Arial" w:hAnsi="Arial" w:cs="Arial"/>
          <w:b/>
          <w:sz w:val="24"/>
          <w:szCs w:val="24"/>
        </w:rPr>
      </w:pPr>
      <w:r>
        <w:rPr>
          <w:rFonts w:ascii="Arial" w:eastAsia="Times New Roman" w:hAnsi="Arial" w:cs="Arial"/>
          <w:b/>
          <w:noProof/>
          <w:sz w:val="24"/>
          <w:szCs w:val="24"/>
          <w:lang w:eastAsia="es-MX"/>
        </w:rPr>
        <w:lastRenderedPageBreak/>
        <mc:AlternateContent>
          <mc:Choice Requires="wps">
            <w:drawing>
              <wp:anchor distT="0" distB="0" distL="114300" distR="114300" simplePos="0" relativeHeight="251658240" behindDoc="0" locked="0" layoutInCell="1" allowOverlap="1">
                <wp:simplePos x="0" y="0"/>
                <wp:positionH relativeFrom="margin">
                  <wp:posOffset>1729740</wp:posOffset>
                </wp:positionH>
                <wp:positionV relativeFrom="page">
                  <wp:posOffset>690245</wp:posOffset>
                </wp:positionV>
                <wp:extent cx="3996690" cy="719455"/>
                <wp:effectExtent l="9525" t="13970" r="133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719455"/>
                        </a:xfrm>
                        <a:prstGeom prst="rect">
                          <a:avLst/>
                        </a:prstGeom>
                        <a:solidFill>
                          <a:srgbClr val="FFFFFF"/>
                        </a:solidFill>
                        <a:ln w="9525">
                          <a:solidFill>
                            <a:srgbClr val="FFFFFF"/>
                          </a:solidFill>
                          <a:miter lim="800000"/>
                          <a:headEnd/>
                          <a:tailEnd/>
                        </a:ln>
                      </wps:spPr>
                      <wps:txbx>
                        <w:txbxContent>
                          <w:p w:rsidR="00181C37" w:rsidRPr="00181C37" w:rsidRDefault="00181C37" w:rsidP="00181C37">
                            <w:pPr>
                              <w:spacing w:before="100" w:beforeAutospacing="1" w:after="100" w:afterAutospacing="1" w:line="240" w:lineRule="auto"/>
                              <w:jc w:val="both"/>
                              <w:rPr>
                                <w:rFonts w:ascii="Arial" w:hAnsi="Arial" w:cs="Arial"/>
                                <w:sz w:val="20"/>
                                <w:szCs w:val="20"/>
                              </w:rPr>
                            </w:pPr>
                            <w:r w:rsidRPr="00181C37">
                              <w:rPr>
                                <w:rFonts w:ascii="Arial" w:hAnsi="Arial" w:cs="Arial"/>
                                <w:sz w:val="20"/>
                                <w:szCs w:val="20"/>
                              </w:rPr>
                              <w:t xml:space="preserve">Esta hoja de firmas forma parte de la Iniciativa para modificar la Constitución Política del Estado de Yucatán, </w:t>
                            </w:r>
                            <w:r w:rsidRPr="00181C37">
                              <w:rPr>
                                <w:rFonts w:ascii="Arial" w:hAnsi="Arial" w:cs="Arial"/>
                                <w:sz w:val="20"/>
                                <w:szCs w:val="20"/>
                                <w:lang w:val="es-ES_tradnl"/>
                              </w:rPr>
                              <w:t>en materia de autonomía de la Fiscalía Especializada en Combate a la Corrupción del Estado de Yucatán</w:t>
                            </w:r>
                            <w:r>
                              <w:rPr>
                                <w:rFonts w:ascii="Arial" w:hAnsi="Arial" w:cs="Arial"/>
                                <w:sz w:val="20"/>
                                <w:szCs w:val="20"/>
                                <w:lang w:val="es-ES_tradn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2pt;margin-top:54.35pt;width:314.7pt;height:5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" strokecolor="white">
                <v:textbox>
                  <w:txbxContent>
                    <w:p w:rsidR="00181C37" w:rsidRPr="00181C37" w:rsidRDefault="00181C37" w:rsidP="00181C37">
                      <w:pPr>
                        <w:spacing w:before="100" w:beforeAutospacing="1" w:after="100" w:afterAutospacing="1" w:line="240" w:lineRule="auto"/>
                        <w:jc w:val="both"/>
                        <w:rPr>
                          <w:rFonts w:ascii="Arial" w:hAnsi="Arial" w:cs="Arial"/>
                          <w:sz w:val="20"/>
                          <w:szCs w:val="20"/>
                        </w:rPr>
                      </w:pPr>
                      <w:r w:rsidRPr="00181C37">
                        <w:rPr>
                          <w:rFonts w:ascii="Arial" w:hAnsi="Arial" w:cs="Arial"/>
                          <w:sz w:val="20"/>
                          <w:szCs w:val="20"/>
                        </w:rPr>
                        <w:t xml:space="preserve">Esta hoja de firmas forma parte de la Iniciativa para modificar la Constitución Política del Estado de Yucatán, </w:t>
                      </w:r>
                      <w:r w:rsidRPr="00181C37">
                        <w:rPr>
                          <w:rFonts w:ascii="Arial" w:hAnsi="Arial" w:cs="Arial"/>
                          <w:sz w:val="20"/>
                          <w:szCs w:val="20"/>
                          <w:lang w:val="es-ES_tradnl"/>
                        </w:rPr>
                        <w:t>en materia de autonomía de la Fiscalía Especializada en Combate a la Corrupción del Estado de Yucatán</w:t>
                      </w:r>
                      <w:r>
                        <w:rPr>
                          <w:rFonts w:ascii="Arial" w:hAnsi="Arial" w:cs="Arial"/>
                          <w:sz w:val="20"/>
                          <w:szCs w:val="20"/>
                          <w:lang w:val="es-ES_tradnl"/>
                        </w:rPr>
                        <w:t>.</w:t>
                      </w:r>
                    </w:p>
                  </w:txbxContent>
                </v:textbox>
                <w10:wrap anchorx="margin" anchory="page"/>
              </v:shape>
            </w:pict>
          </mc:Fallback>
        </mc:AlternateContent>
      </w:r>
      <w:r w:rsidR="00D24429" w:rsidRPr="00D24429">
        <w:rPr>
          <w:rFonts w:ascii="Arial" w:hAnsi="Arial" w:cs="Arial"/>
          <w:b/>
          <w:sz w:val="24"/>
          <w:szCs w:val="24"/>
        </w:rPr>
        <w:t>Décimo. Exención</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lang w:eastAsia="es-MX"/>
        </w:rPr>
        <w:t>La Fiscalía Especializada en Combate a la Corrupción del Estado de Yucatán</w:t>
      </w:r>
      <w:r w:rsidRPr="00D24429">
        <w:rPr>
          <w:rFonts w:ascii="Arial" w:hAnsi="Arial" w:cs="Arial"/>
          <w:sz w:val="24"/>
          <w:szCs w:val="24"/>
        </w:rPr>
        <w:t xml:space="preserve"> queda exenta, por única ocasión, de los derechos, impuestos y obligaciones fiscales, municipales y estatales, que puedan ser causados con motivo de la regularización de sus bienes y servicios para el cumplimiento de este decreto.</w:t>
      </w:r>
    </w:p>
    <w:p w:rsidR="00D24429" w:rsidRPr="00D24429" w:rsidRDefault="00D24429" w:rsidP="00D24429">
      <w:pPr>
        <w:spacing w:before="100" w:beforeAutospacing="1" w:after="100" w:afterAutospacing="1" w:line="240" w:lineRule="auto"/>
        <w:jc w:val="both"/>
        <w:rPr>
          <w:rFonts w:ascii="Arial" w:hAnsi="Arial" w:cs="Arial"/>
          <w:b/>
          <w:sz w:val="24"/>
          <w:szCs w:val="24"/>
          <w:lang w:eastAsia="es-MX"/>
        </w:rPr>
      </w:pPr>
      <w:r w:rsidRPr="00D24429">
        <w:rPr>
          <w:rFonts w:ascii="Arial" w:hAnsi="Arial" w:cs="Arial"/>
          <w:b/>
          <w:sz w:val="24"/>
          <w:szCs w:val="24"/>
          <w:lang w:eastAsia="es-MX"/>
        </w:rPr>
        <w:t>Décimo primero. Previsiones presupuestales</w:t>
      </w:r>
    </w:p>
    <w:p w:rsidR="00D24429" w:rsidRPr="00D24429" w:rsidRDefault="00D24429" w:rsidP="00D24429">
      <w:pPr>
        <w:tabs>
          <w:tab w:val="right" w:pos="8498"/>
        </w:tabs>
        <w:spacing w:before="100" w:beforeAutospacing="1" w:after="100" w:afterAutospacing="1" w:line="240" w:lineRule="auto"/>
        <w:jc w:val="both"/>
        <w:rPr>
          <w:rFonts w:ascii="Arial" w:hAnsi="Arial" w:cs="Arial"/>
          <w:sz w:val="24"/>
          <w:szCs w:val="24"/>
        </w:rPr>
      </w:pPr>
      <w:r w:rsidRPr="00D24429">
        <w:rPr>
          <w:rFonts w:ascii="Arial" w:hAnsi="Arial" w:cs="Arial"/>
          <w:sz w:val="24"/>
          <w:szCs w:val="24"/>
          <w:lang w:eastAsia="es-MX"/>
        </w:rPr>
        <w:t>El Congreso deberá realizar las previsiones y adecuaciones presupuestales necesarias para dar cumplimiento a lo dispuesto en este decreto.</w:t>
      </w:r>
    </w:p>
    <w:p w:rsidR="00D24429" w:rsidRPr="00D24429" w:rsidRDefault="00D24429" w:rsidP="00D24429">
      <w:pPr>
        <w:tabs>
          <w:tab w:val="right" w:pos="8498"/>
        </w:tabs>
        <w:spacing w:before="100" w:beforeAutospacing="1" w:after="100" w:afterAutospacing="1" w:line="240" w:lineRule="auto"/>
        <w:jc w:val="both"/>
        <w:rPr>
          <w:rFonts w:ascii="Arial" w:hAnsi="Arial" w:cs="Arial"/>
          <w:b/>
          <w:sz w:val="24"/>
          <w:szCs w:val="24"/>
          <w:lang w:eastAsia="es-MX"/>
        </w:rPr>
      </w:pPr>
      <w:r w:rsidRPr="00D24429">
        <w:rPr>
          <w:rFonts w:ascii="Arial" w:hAnsi="Arial" w:cs="Arial"/>
          <w:b/>
          <w:sz w:val="24"/>
          <w:szCs w:val="24"/>
          <w:lang w:eastAsia="es-MX"/>
        </w:rPr>
        <w:t>Décimo segundo. Recursos y espacios de la vicefiscalía</w:t>
      </w:r>
    </w:p>
    <w:p w:rsidR="00D24429" w:rsidRPr="00D24429" w:rsidRDefault="00D24429" w:rsidP="00D24429">
      <w:pPr>
        <w:spacing w:before="100" w:beforeAutospacing="1" w:after="100" w:afterAutospacing="1" w:line="240" w:lineRule="auto"/>
        <w:jc w:val="both"/>
        <w:rPr>
          <w:rFonts w:ascii="Arial" w:hAnsi="Arial" w:cs="Arial"/>
          <w:sz w:val="24"/>
          <w:szCs w:val="24"/>
        </w:rPr>
      </w:pPr>
      <w:r w:rsidRPr="00D24429">
        <w:rPr>
          <w:rFonts w:ascii="Arial" w:hAnsi="Arial" w:cs="Arial"/>
          <w:sz w:val="24"/>
          <w:szCs w:val="24"/>
        </w:rPr>
        <w:t>En tanto se llevan a cabo las adecuaciones presupuestales, las transferencias y demás actos necesarios para dotar de recursos propios a la Fiscalía Especializada en Combate a la Corrupción del Estado de Yucatán continuará ejerciendo los recursos y ocupando los espacios que actualmente tiene asignados la Vicefiscalía Especializada en Combate a la Corrupción en la Fiscalía General del Estado.</w:t>
      </w:r>
    </w:p>
    <w:p w:rsidR="00FD0F9C" w:rsidRDefault="00D24429" w:rsidP="00D24429">
      <w:pPr>
        <w:tabs>
          <w:tab w:val="left" w:pos="331"/>
        </w:tabs>
        <w:spacing w:before="100" w:beforeAutospacing="1" w:after="100" w:afterAutospacing="1" w:line="240" w:lineRule="auto"/>
        <w:jc w:val="center"/>
        <w:rPr>
          <w:rFonts w:ascii="Arial" w:eastAsia="Times New Roman" w:hAnsi="Arial" w:cs="Arial"/>
          <w:b/>
          <w:sz w:val="24"/>
          <w:szCs w:val="24"/>
          <w:lang w:val="es-ES"/>
        </w:rPr>
      </w:pPr>
      <w:r w:rsidRPr="00D24429">
        <w:rPr>
          <w:rFonts w:ascii="Arial" w:eastAsia="Times New Roman" w:hAnsi="Arial" w:cs="Arial"/>
          <w:b/>
          <w:sz w:val="24"/>
          <w:szCs w:val="24"/>
          <w:lang w:val="es-ES"/>
        </w:rPr>
        <w:t>Atentamente</w:t>
      </w:r>
    </w:p>
    <w:p w:rsidR="00FD0F9C" w:rsidRDefault="00FD0F9C" w:rsidP="00D24429">
      <w:pPr>
        <w:tabs>
          <w:tab w:val="left" w:pos="331"/>
        </w:tabs>
        <w:spacing w:before="100" w:beforeAutospacing="1" w:after="100" w:afterAutospacing="1" w:line="240" w:lineRule="auto"/>
        <w:jc w:val="center"/>
        <w:rPr>
          <w:rFonts w:ascii="Arial" w:eastAsia="Times New Roman" w:hAnsi="Arial" w:cs="Arial"/>
          <w:b/>
          <w:sz w:val="24"/>
          <w:szCs w:val="24"/>
        </w:rPr>
      </w:pPr>
    </w:p>
    <w:p w:rsidR="00FD0F9C" w:rsidRDefault="00D24429" w:rsidP="00D24429">
      <w:pPr>
        <w:tabs>
          <w:tab w:val="left" w:pos="331"/>
        </w:tabs>
        <w:spacing w:before="100" w:beforeAutospacing="1" w:after="100" w:afterAutospacing="1" w:line="240" w:lineRule="auto"/>
        <w:jc w:val="center"/>
        <w:rPr>
          <w:rFonts w:ascii="Arial" w:eastAsia="Times New Roman" w:hAnsi="Arial" w:cs="Arial"/>
          <w:b/>
          <w:sz w:val="24"/>
          <w:szCs w:val="24"/>
        </w:rPr>
      </w:pPr>
      <w:r w:rsidRPr="00D24429">
        <w:rPr>
          <w:rFonts w:ascii="Arial" w:eastAsia="Times New Roman" w:hAnsi="Arial" w:cs="Arial"/>
          <w:b/>
          <w:sz w:val="24"/>
          <w:szCs w:val="24"/>
        </w:rPr>
        <w:t>Lic. Mauricio Vila Dosal</w:t>
      </w:r>
      <w:r w:rsidRPr="00D24429">
        <w:rPr>
          <w:rFonts w:ascii="Arial" w:eastAsia="Times New Roman" w:hAnsi="Arial" w:cs="Arial"/>
          <w:b/>
          <w:sz w:val="24"/>
          <w:szCs w:val="24"/>
        </w:rPr>
        <w:br/>
        <w:t>Gobernador del Estado de Yucatán</w:t>
      </w:r>
    </w:p>
    <w:p w:rsidR="00FD0F9C" w:rsidRDefault="00FD0F9C" w:rsidP="00D24429">
      <w:pPr>
        <w:tabs>
          <w:tab w:val="left" w:pos="331"/>
        </w:tabs>
        <w:spacing w:before="100" w:beforeAutospacing="1" w:after="100" w:afterAutospacing="1" w:line="240" w:lineRule="auto"/>
        <w:rPr>
          <w:rFonts w:ascii="Arial" w:eastAsia="Times New Roman" w:hAnsi="Arial" w:cs="Arial"/>
          <w:b/>
          <w:sz w:val="24"/>
          <w:szCs w:val="24"/>
        </w:rPr>
      </w:pPr>
    </w:p>
    <w:p w:rsidR="0017671C" w:rsidRPr="00D24429" w:rsidRDefault="00D24429" w:rsidP="00D24429">
      <w:pPr>
        <w:tabs>
          <w:tab w:val="left" w:pos="331"/>
        </w:tabs>
        <w:spacing w:before="100" w:beforeAutospacing="1" w:after="100" w:afterAutospacing="1" w:line="240" w:lineRule="auto"/>
        <w:rPr>
          <w:rFonts w:ascii="Arial" w:hAnsi="Arial" w:cs="Arial"/>
          <w:b/>
          <w:sz w:val="24"/>
          <w:szCs w:val="24"/>
        </w:rPr>
      </w:pPr>
      <w:r w:rsidRPr="00D24429">
        <w:rPr>
          <w:rFonts w:ascii="Arial" w:eastAsia="Times New Roman" w:hAnsi="Arial" w:cs="Arial"/>
          <w:b/>
          <w:sz w:val="24"/>
          <w:szCs w:val="24"/>
        </w:rPr>
        <w:t>Abog. María Dolores Fritz Sierra</w:t>
      </w:r>
      <w:r w:rsidRPr="00D24429">
        <w:rPr>
          <w:rFonts w:ascii="Arial" w:eastAsia="Times New Roman" w:hAnsi="Arial" w:cs="Arial"/>
          <w:b/>
          <w:sz w:val="24"/>
          <w:szCs w:val="24"/>
        </w:rPr>
        <w:br/>
        <w:t>Secretaria general de Gobierno</w:t>
      </w:r>
    </w:p>
    <w:sectPr w:rsidR="0017671C" w:rsidRPr="00D24429" w:rsidSect="00D24429">
      <w:footerReference w:type="default" r:id="rId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27" w:rsidRDefault="00A27227" w:rsidP="00D24429">
      <w:pPr>
        <w:spacing w:line="240" w:lineRule="auto"/>
      </w:pPr>
      <w:r>
        <w:separator/>
      </w:r>
    </w:p>
  </w:endnote>
  <w:endnote w:type="continuationSeparator" w:id="0">
    <w:p w:rsidR="00A27227" w:rsidRDefault="00A27227" w:rsidP="00D24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altName w:val="MS P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837876"/>
      <w:docPartObj>
        <w:docPartGallery w:val="Page Numbers (Bottom of Page)"/>
        <w:docPartUnique/>
      </w:docPartObj>
    </w:sdtPr>
    <w:sdtEndPr/>
    <w:sdtContent>
      <w:p w:rsidR="00FD0F9C" w:rsidRDefault="00FD0F9C" w:rsidP="00FD0F9C">
        <w:pPr>
          <w:pStyle w:val="Piedepgina"/>
          <w:jc w:val="right"/>
        </w:pPr>
        <w:r w:rsidRPr="00FD0F9C">
          <w:rPr>
            <w:rFonts w:ascii="Arial" w:hAnsi="Arial" w:cs="Arial"/>
            <w:sz w:val="20"/>
            <w:szCs w:val="20"/>
          </w:rPr>
          <w:fldChar w:fldCharType="begin"/>
        </w:r>
        <w:r w:rsidRPr="00FD0F9C">
          <w:rPr>
            <w:rFonts w:ascii="Arial" w:hAnsi="Arial" w:cs="Arial"/>
            <w:sz w:val="20"/>
            <w:szCs w:val="20"/>
          </w:rPr>
          <w:instrText xml:space="preserve"> PAGE   \* MERGEFORMAT </w:instrText>
        </w:r>
        <w:r w:rsidRPr="00FD0F9C">
          <w:rPr>
            <w:rFonts w:ascii="Arial" w:hAnsi="Arial" w:cs="Arial"/>
            <w:sz w:val="20"/>
            <w:szCs w:val="20"/>
          </w:rPr>
          <w:fldChar w:fldCharType="separate"/>
        </w:r>
        <w:r w:rsidR="006C131D">
          <w:rPr>
            <w:rFonts w:ascii="Arial" w:hAnsi="Arial" w:cs="Arial"/>
            <w:noProof/>
            <w:sz w:val="20"/>
            <w:szCs w:val="20"/>
          </w:rPr>
          <w:t>1</w:t>
        </w:r>
        <w:r w:rsidRPr="00FD0F9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27" w:rsidRDefault="00A27227" w:rsidP="00D24429">
      <w:pPr>
        <w:spacing w:line="240" w:lineRule="auto"/>
      </w:pPr>
      <w:r>
        <w:separator/>
      </w:r>
    </w:p>
  </w:footnote>
  <w:footnote w:type="continuationSeparator" w:id="0">
    <w:p w:rsidR="00A27227" w:rsidRDefault="00A27227" w:rsidP="00D24429">
      <w:pPr>
        <w:spacing w:line="240" w:lineRule="auto"/>
      </w:pPr>
      <w:r>
        <w:continuationSeparator/>
      </w:r>
    </w:p>
  </w:footnote>
  <w:footnote w:id="1">
    <w:p w:rsidR="00D24429" w:rsidRPr="00A55261" w:rsidRDefault="00D24429" w:rsidP="00D24429">
      <w:pPr>
        <w:pStyle w:val="Textonotapie"/>
        <w:jc w:val="both"/>
        <w:rPr>
          <w:rFonts w:ascii="Arial" w:hAnsi="Arial" w:cs="Arial"/>
        </w:rPr>
      </w:pPr>
      <w:r w:rsidRPr="00A55261">
        <w:rPr>
          <w:rStyle w:val="Refdenotaalpie"/>
          <w:rFonts w:ascii="Arial" w:hAnsi="Arial" w:cs="Arial"/>
        </w:rPr>
        <w:footnoteRef/>
      </w:r>
      <w:r w:rsidRPr="00A55261">
        <w:rPr>
          <w:rFonts w:ascii="Arial" w:hAnsi="Arial" w:cs="Arial"/>
        </w:rPr>
        <w:t>Morris, S. (1991). Corrupción y política en el México contemporáneo. Siglo XXI editores. p. 18.</w:t>
      </w:r>
    </w:p>
  </w:footnote>
  <w:footnote w:id="2">
    <w:p w:rsidR="00D24429" w:rsidRPr="00A55261" w:rsidRDefault="00D24429" w:rsidP="00D24429">
      <w:pPr>
        <w:pStyle w:val="Textonotapie"/>
        <w:jc w:val="both"/>
        <w:rPr>
          <w:rFonts w:ascii="Arial" w:hAnsi="Arial" w:cs="Arial"/>
        </w:rPr>
      </w:pPr>
      <w:r w:rsidRPr="00A55261">
        <w:rPr>
          <w:rStyle w:val="Refdenotaalpie"/>
          <w:rFonts w:ascii="Arial" w:hAnsi="Arial" w:cs="Arial"/>
        </w:rPr>
        <w:footnoteRef/>
      </w:r>
      <w:r w:rsidRPr="00A55261">
        <w:rPr>
          <w:rFonts w:ascii="Arial" w:hAnsi="Arial" w:cs="Arial"/>
        </w:rPr>
        <w:t>Naciones Unidas. Corrupción. Recuperado de: https://www.un.org/ruleoflaw/es/thematic-areas/governance/corruption/</w:t>
      </w:r>
    </w:p>
  </w:footnote>
  <w:footnote w:id="3">
    <w:p w:rsidR="00D24429" w:rsidRPr="00A55261" w:rsidRDefault="00D24429" w:rsidP="00D24429">
      <w:pPr>
        <w:pStyle w:val="Textonotapie"/>
        <w:jc w:val="both"/>
        <w:rPr>
          <w:rFonts w:ascii="Arial" w:hAnsi="Arial" w:cs="Arial"/>
        </w:rPr>
      </w:pPr>
      <w:r w:rsidRPr="00A55261">
        <w:rPr>
          <w:rStyle w:val="Refdenotaalpie"/>
          <w:rFonts w:ascii="Arial" w:hAnsi="Arial" w:cs="Arial"/>
        </w:rPr>
        <w:footnoteRef/>
      </w:r>
      <w:r w:rsidRPr="00A55261">
        <w:rPr>
          <w:rFonts w:ascii="Arial" w:hAnsi="Arial" w:cs="Arial"/>
        </w:rPr>
        <w:t>Naciones Unidas. (10 de septiembre de 2018). La corrupción le cuesta al mundo 2,6 billones de dólares al año. Recuperado de: https://news.un.org/es/story/2018/09/1441292</w:t>
      </w:r>
    </w:p>
  </w:footnote>
  <w:footnote w:id="4">
    <w:p w:rsidR="00D24429" w:rsidRPr="00A55261" w:rsidRDefault="00D24429" w:rsidP="00D24429">
      <w:pPr>
        <w:pStyle w:val="Textonotapie"/>
        <w:jc w:val="both"/>
        <w:rPr>
          <w:rFonts w:ascii="Arial" w:hAnsi="Arial" w:cs="Arial"/>
        </w:rPr>
      </w:pPr>
      <w:r w:rsidRPr="00A55261">
        <w:rPr>
          <w:rStyle w:val="Refdenotaalpie"/>
          <w:rFonts w:ascii="Arial" w:hAnsi="Arial" w:cs="Arial"/>
        </w:rPr>
        <w:footnoteRef/>
      </w:r>
      <w:r w:rsidRPr="00A55261">
        <w:rPr>
          <w:rFonts w:ascii="Arial" w:hAnsi="Arial" w:cs="Arial"/>
        </w:rPr>
        <w:t>Instituto Nacional de Estadística y Geografía. (6 de diciembre de 2018). Estadísticas a propósito del Día Internacional de la Corrupción (9 de diciembre). Recuperado de: https://www.inegi.org.mx/contenidos/saladeprensa/aproposito/2018/corrupcion2018_Nal.pdf</w:t>
      </w:r>
    </w:p>
  </w:footnote>
  <w:footnote w:id="5">
    <w:p w:rsidR="00D24429" w:rsidRPr="00A55261" w:rsidRDefault="00D24429" w:rsidP="00D24429">
      <w:pPr>
        <w:pStyle w:val="Textonotapie"/>
        <w:jc w:val="both"/>
        <w:rPr>
          <w:rFonts w:ascii="Arial" w:hAnsi="Arial" w:cs="Arial"/>
          <w:lang w:val="es-ES"/>
        </w:rPr>
      </w:pPr>
      <w:r w:rsidRPr="00A55261">
        <w:rPr>
          <w:rStyle w:val="Refdenotaalpie"/>
          <w:rFonts w:ascii="Arial" w:hAnsi="Arial" w:cs="Arial"/>
        </w:rPr>
        <w:footnoteRef/>
      </w:r>
      <w:r w:rsidRPr="00A55261">
        <w:rPr>
          <w:rFonts w:ascii="Arial" w:hAnsi="Arial" w:cs="Arial"/>
        </w:rPr>
        <w:t xml:space="preserve"> INEGI, </w:t>
      </w:r>
      <w:r w:rsidRPr="00A55261">
        <w:rPr>
          <w:rFonts w:ascii="Arial" w:hAnsi="Arial" w:cs="Arial"/>
          <w:i/>
          <w:lang w:val="es-ES_tradnl"/>
        </w:rPr>
        <w:t>Encuesta Nacional de Victimización de Empresas 2018</w:t>
      </w:r>
    </w:p>
  </w:footnote>
  <w:footnote w:id="6">
    <w:p w:rsidR="00D24429" w:rsidRPr="00A55261" w:rsidRDefault="00D24429" w:rsidP="00D24429">
      <w:pPr>
        <w:pStyle w:val="Textonotapie"/>
        <w:jc w:val="both"/>
        <w:rPr>
          <w:rFonts w:ascii="Arial" w:hAnsi="Arial" w:cs="Arial"/>
        </w:rPr>
      </w:pPr>
      <w:r w:rsidRPr="00A55261">
        <w:rPr>
          <w:rStyle w:val="Refdenotaalpie"/>
          <w:rFonts w:ascii="Arial" w:hAnsi="Arial" w:cs="Arial"/>
        </w:rPr>
        <w:footnoteRef/>
      </w:r>
      <w:r w:rsidRPr="00A55261">
        <w:rPr>
          <w:rFonts w:ascii="Arial" w:hAnsi="Arial" w:cs="Arial"/>
        </w:rPr>
        <w:t xml:space="preserve"> Naciones Unidas. (5 de enero de 2015). </w:t>
      </w:r>
      <w:r w:rsidRPr="00A55261">
        <w:rPr>
          <w:rFonts w:ascii="Arial" w:hAnsi="Arial" w:cs="Arial"/>
          <w:lang w:val="en-US"/>
        </w:rPr>
        <w:t xml:space="preserve">Final report of the Human Rights Council Advisory Committee on the issue of the negative impact of corruption on the enjoyment of human rights. </w:t>
      </w:r>
      <w:r w:rsidRPr="00A55261">
        <w:rPr>
          <w:rFonts w:ascii="Arial" w:hAnsi="Arial" w:cs="Arial"/>
        </w:rPr>
        <w:t>Recuperado de: https://www.ohchr.org/en/hrbodies/hrc/regularsessions/session28/documents/a_hrc_28_73_eng.doc</w:t>
      </w:r>
    </w:p>
  </w:footnote>
  <w:footnote w:id="7">
    <w:p w:rsidR="00D24429" w:rsidRPr="00A55261" w:rsidRDefault="00D24429" w:rsidP="00D24429">
      <w:pPr>
        <w:pStyle w:val="Textonotapie"/>
        <w:jc w:val="both"/>
        <w:rPr>
          <w:rFonts w:ascii="Arial" w:hAnsi="Arial" w:cs="Arial"/>
        </w:rPr>
      </w:pPr>
      <w:r w:rsidRPr="00A55261">
        <w:rPr>
          <w:rStyle w:val="Refdenotaalpie"/>
          <w:rFonts w:ascii="Arial" w:hAnsi="Arial" w:cs="Arial"/>
        </w:rPr>
        <w:footnoteRef/>
      </w:r>
      <w:r>
        <w:rPr>
          <w:rFonts w:ascii="Arial" w:hAnsi="Arial" w:cs="Arial"/>
        </w:rPr>
        <w:t xml:space="preserve"> </w:t>
      </w:r>
      <w:r w:rsidRPr="00A55261">
        <w:rPr>
          <w:rFonts w:ascii="Arial" w:hAnsi="Arial" w:cs="Arial"/>
        </w:rPr>
        <w:t>Secretaría de Relaciones Exteriores. Convención de las Naciones Unidas contra la Corrupción. Recuperado de: https://aplicaciones.sre.gob.mx/tratados/ARCHIVOS/CORRUPCION.pdf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3"/>
  </w:num>
  <w:num w:numId="5">
    <w:abstractNumId w:val="10"/>
  </w:num>
  <w:num w:numId="6">
    <w:abstractNumId w:val="16"/>
  </w:num>
  <w:num w:numId="7">
    <w:abstractNumId w:val="2"/>
  </w:num>
  <w:num w:numId="8">
    <w:abstractNumId w:val="19"/>
  </w:num>
  <w:num w:numId="9">
    <w:abstractNumId w:val="20"/>
  </w:num>
  <w:num w:numId="10">
    <w:abstractNumId w:val="13"/>
  </w:num>
  <w:num w:numId="11">
    <w:abstractNumId w:val="5"/>
  </w:num>
  <w:num w:numId="12">
    <w:abstractNumId w:val="17"/>
  </w:num>
  <w:num w:numId="13">
    <w:abstractNumId w:val="25"/>
  </w:num>
  <w:num w:numId="14">
    <w:abstractNumId w:val="15"/>
  </w:num>
  <w:num w:numId="15">
    <w:abstractNumId w:val="6"/>
  </w:num>
  <w:num w:numId="16">
    <w:abstractNumId w:val="9"/>
  </w:num>
  <w:num w:numId="17">
    <w:abstractNumId w:val="11"/>
  </w:num>
  <w:num w:numId="18">
    <w:abstractNumId w:val="1"/>
  </w:num>
  <w:num w:numId="19">
    <w:abstractNumId w:val="26"/>
  </w:num>
  <w:num w:numId="20">
    <w:abstractNumId w:val="22"/>
  </w:num>
  <w:num w:numId="21">
    <w:abstractNumId w:val="12"/>
  </w:num>
  <w:num w:numId="22">
    <w:abstractNumId w:val="18"/>
  </w:num>
  <w:num w:numId="23">
    <w:abstractNumId w:val="14"/>
  </w:num>
  <w:num w:numId="24">
    <w:abstractNumId w:val="3"/>
  </w:num>
  <w:num w:numId="25">
    <w:abstractNumId w:val="7"/>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29"/>
    <w:rsid w:val="00181C37"/>
    <w:rsid w:val="006A2CEC"/>
    <w:rsid w:val="006C131D"/>
    <w:rsid w:val="006E1032"/>
    <w:rsid w:val="007F1D3F"/>
    <w:rsid w:val="00A27227"/>
    <w:rsid w:val="00C45098"/>
    <w:rsid w:val="00C61064"/>
    <w:rsid w:val="00D24429"/>
    <w:rsid w:val="00FD0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EB02F17-1AF0-4272-94EF-22E0CF36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29"/>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D2442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24429"/>
  </w:style>
  <w:style w:type="paragraph" w:styleId="Piedepgina">
    <w:name w:val="footer"/>
    <w:basedOn w:val="Normal"/>
    <w:link w:val="PiedepginaCar"/>
    <w:uiPriority w:val="99"/>
    <w:unhideWhenUsed/>
    <w:rsid w:val="00D2442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24429"/>
  </w:style>
  <w:style w:type="paragraph" w:styleId="Textodeglobo">
    <w:name w:val="Balloon Text"/>
    <w:basedOn w:val="Normal"/>
    <w:link w:val="TextodegloboCar"/>
    <w:uiPriority w:val="99"/>
    <w:semiHidden/>
    <w:unhideWhenUsed/>
    <w:rsid w:val="00D2442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429"/>
    <w:rPr>
      <w:rFonts w:ascii="Tahoma" w:hAnsi="Tahoma" w:cs="Tahoma"/>
      <w:sz w:val="16"/>
      <w:szCs w:val="16"/>
    </w:rPr>
  </w:style>
  <w:style w:type="paragraph" w:styleId="NormalWeb">
    <w:name w:val="Normal (Web)"/>
    <w:basedOn w:val="Normal"/>
    <w:uiPriority w:val="99"/>
    <w:rsid w:val="00D24429"/>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D24429"/>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D24429"/>
    <w:pPr>
      <w:spacing w:line="240" w:lineRule="auto"/>
    </w:pPr>
    <w:rPr>
      <w:sz w:val="20"/>
      <w:szCs w:val="20"/>
    </w:rPr>
  </w:style>
  <w:style w:type="character" w:customStyle="1" w:styleId="TextonotapieCar">
    <w:name w:val="Texto nota pie Car"/>
    <w:basedOn w:val="Fuentedeprrafopredeter"/>
    <w:link w:val="Textonotapie"/>
    <w:uiPriority w:val="99"/>
    <w:rsid w:val="00D24429"/>
    <w:rPr>
      <w:sz w:val="20"/>
      <w:szCs w:val="20"/>
    </w:rPr>
  </w:style>
  <w:style w:type="character" w:styleId="Refdenotaalpie">
    <w:name w:val="footnote reference"/>
    <w:basedOn w:val="Fuentedeprrafopredeter"/>
    <w:uiPriority w:val="99"/>
    <w:unhideWhenUsed/>
    <w:rsid w:val="00D24429"/>
    <w:rPr>
      <w:vertAlign w:val="superscript"/>
    </w:rPr>
  </w:style>
  <w:style w:type="paragraph" w:customStyle="1" w:styleId="p">
    <w:name w:val="p"/>
    <w:basedOn w:val="Normal"/>
    <w:rsid w:val="00D24429"/>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D24429"/>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D24429"/>
    <w:rPr>
      <w:color w:val="0000FF"/>
      <w:sz w:val="30"/>
      <w:szCs w:val="30"/>
    </w:rPr>
  </w:style>
  <w:style w:type="character" w:customStyle="1" w:styleId="d1">
    <w:name w:val="d1"/>
    <w:basedOn w:val="Fuentedeprrafopredeter"/>
    <w:rsid w:val="00D24429"/>
    <w:rPr>
      <w:color w:val="0000FF"/>
    </w:rPr>
  </w:style>
  <w:style w:type="character" w:customStyle="1" w:styleId="b1">
    <w:name w:val="b1"/>
    <w:basedOn w:val="Fuentedeprrafopredeter"/>
    <w:rsid w:val="00D24429"/>
    <w:rPr>
      <w:color w:val="000000"/>
    </w:rPr>
  </w:style>
  <w:style w:type="character" w:customStyle="1" w:styleId="caps">
    <w:name w:val="caps"/>
    <w:basedOn w:val="Fuentedeprrafopredeter"/>
    <w:rsid w:val="00D24429"/>
  </w:style>
  <w:style w:type="paragraph" w:customStyle="1" w:styleId="Default">
    <w:name w:val="Default"/>
    <w:rsid w:val="00D24429"/>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D24429"/>
    <w:pPr>
      <w:jc w:val="both"/>
    </w:pPr>
    <w:rPr>
      <w:rFonts w:ascii="Arial" w:hAnsi="Arial"/>
      <w:sz w:val="24"/>
    </w:rPr>
  </w:style>
  <w:style w:type="character" w:customStyle="1" w:styleId="EstiloCar">
    <w:name w:val="Estilo Car"/>
    <w:basedOn w:val="Fuentedeprrafopredeter"/>
    <w:link w:val="Estilo"/>
    <w:rsid w:val="00D24429"/>
    <w:rPr>
      <w:rFonts w:ascii="Arial" w:hAnsi="Arial"/>
      <w:sz w:val="24"/>
    </w:rPr>
  </w:style>
  <w:style w:type="paragraph" w:styleId="Sinespaciado">
    <w:name w:val="No Spacing"/>
    <w:uiPriority w:val="1"/>
    <w:qFormat/>
    <w:rsid w:val="00D24429"/>
    <w:pPr>
      <w:spacing w:after="0" w:line="240" w:lineRule="auto"/>
    </w:pPr>
  </w:style>
  <w:style w:type="character" w:styleId="Refdecomentario">
    <w:name w:val="annotation reference"/>
    <w:basedOn w:val="Fuentedeprrafopredeter"/>
    <w:uiPriority w:val="99"/>
    <w:semiHidden/>
    <w:unhideWhenUsed/>
    <w:rsid w:val="00D24429"/>
    <w:rPr>
      <w:sz w:val="16"/>
      <w:szCs w:val="16"/>
    </w:rPr>
  </w:style>
  <w:style w:type="paragraph" w:styleId="Textocomentario">
    <w:name w:val="annotation text"/>
    <w:basedOn w:val="Normal"/>
    <w:link w:val="TextocomentarioCar"/>
    <w:uiPriority w:val="99"/>
    <w:semiHidden/>
    <w:unhideWhenUsed/>
    <w:rsid w:val="00D24429"/>
    <w:pPr>
      <w:spacing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24429"/>
    <w:rPr>
      <w:rFonts w:ascii="Times New Roman" w:eastAsia="Times New Roman" w:hAnsi="Times New Roman" w:cs="Times New Roman"/>
      <w:sz w:val="20"/>
      <w:szCs w:val="20"/>
      <w:lang w:eastAsia="es-ES"/>
    </w:rPr>
  </w:style>
  <w:style w:type="paragraph" w:customStyle="1" w:styleId="Sangra2detindependiente1">
    <w:name w:val="Sangría 2 de t. independiente1"/>
    <w:rsid w:val="00D24429"/>
    <w:pPr>
      <w:spacing w:after="120" w:line="480" w:lineRule="auto"/>
      <w:ind w:left="283"/>
    </w:pPr>
    <w:rPr>
      <w:rFonts w:ascii="Times New Roman" w:eastAsia="ヒラギノ角ゴ Pro W3" w:hAnsi="Times New Roman" w:cs="Times New Roman"/>
      <w:color w:val="000000"/>
      <w:sz w:val="24"/>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D24429"/>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D24429"/>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3677</Words>
  <Characters>20224</Characters>
  <Application>Microsoft Office Word</Application>
  <DocSecurity>0</DocSecurity>
  <Lines>168</Lines>
  <Paragraphs>47</Paragraphs>
  <ScaleCrop>false</ScaleCrop>
  <Company>http://www.centor.mx.gd</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Mildred Manzanilla</cp:lastModifiedBy>
  <cp:revision>2</cp:revision>
  <dcterms:created xsi:type="dcterms:W3CDTF">2019-09-20T16:44:00Z</dcterms:created>
  <dcterms:modified xsi:type="dcterms:W3CDTF">2019-09-20T16:44:00Z</dcterms:modified>
</cp:coreProperties>
</file>